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2941"/>
        <w:tblW w:w="0" w:type="auto"/>
        <w:tblLook w:val="04A0" w:firstRow="1" w:lastRow="0" w:firstColumn="1" w:lastColumn="0" w:noHBand="0" w:noVBand="1"/>
      </w:tblPr>
      <w:tblGrid>
        <w:gridCol w:w="494"/>
        <w:gridCol w:w="3342"/>
        <w:gridCol w:w="1275"/>
      </w:tblGrid>
      <w:tr w:rsidR="005B090A" w:rsidRPr="00DB4C2B" w14:paraId="30C14D49" w14:textId="77777777" w:rsidTr="00FC7E2C">
        <w:tc>
          <w:tcPr>
            <w:tcW w:w="5111" w:type="dxa"/>
            <w:gridSpan w:val="3"/>
            <w:shd w:val="clear" w:color="auto" w:fill="FFCCCC"/>
            <w:vAlign w:val="center"/>
          </w:tcPr>
          <w:p w14:paraId="6C2A3536" w14:textId="77777777" w:rsidR="005B090A" w:rsidRPr="00DB4C2B" w:rsidRDefault="005B090A" w:rsidP="005B090A">
            <w:pPr>
              <w:jc w:val="center"/>
              <w:rPr>
                <w:rFonts w:ascii="Twinkl" w:hAnsi="Twinkl"/>
                <w:b/>
                <w:sz w:val="32"/>
              </w:rPr>
            </w:pPr>
            <w:bookmarkStart w:id="0" w:name="_GoBack"/>
            <w:bookmarkEnd w:id="0"/>
            <w:r w:rsidRPr="00DB4C2B">
              <w:rPr>
                <w:rFonts w:ascii="Twinkl" w:hAnsi="Twinkl"/>
                <w:b/>
                <w:sz w:val="32"/>
              </w:rPr>
              <w:t>Discern</w:t>
            </w:r>
          </w:p>
          <w:p w14:paraId="2A483FB8" w14:textId="77777777" w:rsidR="005B090A" w:rsidRPr="00DB4C2B" w:rsidRDefault="005B090A" w:rsidP="005B090A">
            <w:pPr>
              <w:jc w:val="center"/>
              <w:rPr>
                <w:rFonts w:ascii="Twinkl" w:hAnsi="Twinkl"/>
              </w:rPr>
            </w:pPr>
            <w:r w:rsidRPr="00DB4C2B">
              <w:rPr>
                <w:rFonts w:ascii="Twinkl" w:hAnsi="Twinkl"/>
              </w:rPr>
              <w:t>By the end of this unit of study, pupils will be able to talk and think creatively and critically about what they have studied, for example, through:</w:t>
            </w:r>
          </w:p>
        </w:tc>
      </w:tr>
      <w:tr w:rsidR="00D64D6C" w:rsidRPr="00DB4C2B" w14:paraId="167AF0D8" w14:textId="77777777" w:rsidTr="00FC7E2C">
        <w:trPr>
          <w:cantSplit/>
          <w:trHeight w:val="850"/>
        </w:trPr>
        <w:tc>
          <w:tcPr>
            <w:tcW w:w="494" w:type="dxa"/>
            <w:shd w:val="clear" w:color="auto" w:fill="FFCCCC"/>
            <w:textDirection w:val="btLr"/>
          </w:tcPr>
          <w:p w14:paraId="02BEC263" w14:textId="2CC86DEC" w:rsidR="00D64D6C" w:rsidRPr="000A435F" w:rsidRDefault="00D64D6C" w:rsidP="00D64D6C">
            <w:pPr>
              <w:ind w:left="113" w:right="113"/>
              <w:jc w:val="center"/>
              <w:rPr>
                <w:rFonts w:ascii="Twinkl" w:hAnsi="Twinkl"/>
                <w:sz w:val="18"/>
                <w:szCs w:val="18"/>
              </w:rPr>
            </w:pPr>
            <w:r w:rsidRPr="000A435F">
              <w:rPr>
                <w:rFonts w:ascii="Twinkl" w:hAnsi="Twinkl"/>
                <w:sz w:val="18"/>
              </w:rPr>
              <w:t>D1.4.1.</w:t>
            </w:r>
          </w:p>
        </w:tc>
        <w:tc>
          <w:tcPr>
            <w:tcW w:w="3342" w:type="dxa"/>
            <w:shd w:val="clear" w:color="auto" w:fill="FFCCCC"/>
            <w:vAlign w:val="center"/>
          </w:tcPr>
          <w:p w14:paraId="6B3413C6" w14:textId="18A1A956" w:rsidR="00D64D6C" w:rsidRPr="00D64D6C" w:rsidRDefault="00D64D6C" w:rsidP="00D64D6C">
            <w:pPr>
              <w:jc w:val="center"/>
              <w:rPr>
                <w:rFonts w:ascii="Twinkl" w:hAnsi="Twinkl"/>
                <w:sz w:val="18"/>
                <w:szCs w:val="18"/>
              </w:rPr>
            </w:pPr>
            <w:r w:rsidRPr="00D64D6C">
              <w:rPr>
                <w:rFonts w:ascii="Twinkl" w:hAnsi="Twinkl"/>
                <w:sz w:val="18"/>
              </w:rPr>
              <w:t>Asking ‘I wonder’ questions about the story of the last week of Jesus’ life.</w:t>
            </w:r>
          </w:p>
        </w:tc>
        <w:tc>
          <w:tcPr>
            <w:tcW w:w="1275" w:type="dxa"/>
            <w:shd w:val="clear" w:color="auto" w:fill="FFCCCC"/>
            <w:vAlign w:val="center"/>
          </w:tcPr>
          <w:p w14:paraId="47E77B88" w14:textId="77777777" w:rsidR="00D64D6C" w:rsidRPr="00DB4C2B" w:rsidRDefault="00D64D6C" w:rsidP="00D64D6C">
            <w:pPr>
              <w:jc w:val="center"/>
              <w:rPr>
                <w:rFonts w:ascii="Twinkl" w:hAnsi="Twinkl"/>
              </w:rPr>
            </w:pPr>
          </w:p>
        </w:tc>
      </w:tr>
      <w:tr w:rsidR="00D64D6C" w:rsidRPr="00DB4C2B" w14:paraId="0596ED9B" w14:textId="77777777" w:rsidTr="00FC7E2C">
        <w:trPr>
          <w:cantSplit/>
          <w:trHeight w:val="1134"/>
        </w:trPr>
        <w:tc>
          <w:tcPr>
            <w:tcW w:w="494" w:type="dxa"/>
            <w:shd w:val="clear" w:color="auto" w:fill="FFCCCC"/>
            <w:textDirection w:val="btLr"/>
            <w:vAlign w:val="center"/>
          </w:tcPr>
          <w:p w14:paraId="0576392F" w14:textId="08958612" w:rsidR="00D64D6C" w:rsidRPr="000A435F" w:rsidRDefault="00D64D6C" w:rsidP="00D64D6C">
            <w:pPr>
              <w:ind w:left="113" w:right="113"/>
              <w:jc w:val="center"/>
              <w:rPr>
                <w:rFonts w:ascii="Twinkl" w:hAnsi="Twinkl"/>
                <w:sz w:val="18"/>
                <w:szCs w:val="18"/>
              </w:rPr>
            </w:pPr>
            <w:r w:rsidRPr="000A435F">
              <w:rPr>
                <w:rFonts w:ascii="Twinkl" w:hAnsi="Twinkl"/>
                <w:sz w:val="18"/>
              </w:rPr>
              <w:t>D1.4.2.</w:t>
            </w:r>
          </w:p>
        </w:tc>
        <w:tc>
          <w:tcPr>
            <w:tcW w:w="3342" w:type="dxa"/>
            <w:shd w:val="clear" w:color="auto" w:fill="FFCCCC"/>
            <w:vAlign w:val="center"/>
          </w:tcPr>
          <w:p w14:paraId="237C61B8" w14:textId="530F7B48" w:rsidR="00D64D6C" w:rsidRPr="00D64D6C" w:rsidRDefault="00D64D6C" w:rsidP="00D64D6C">
            <w:pPr>
              <w:jc w:val="center"/>
              <w:rPr>
                <w:rFonts w:ascii="Twinkl" w:hAnsi="Twinkl"/>
                <w:sz w:val="18"/>
                <w:szCs w:val="18"/>
              </w:rPr>
            </w:pPr>
            <w:r w:rsidRPr="00D64D6C">
              <w:rPr>
                <w:rFonts w:ascii="Twinkl" w:hAnsi="Twinkl"/>
                <w:sz w:val="18"/>
              </w:rPr>
              <w:t>Experiencing and reflecting on music or art that shows how Christian communities in another part of the world celebrate Lent and the last week of Jesus’ life. (RVE)</w:t>
            </w:r>
          </w:p>
        </w:tc>
        <w:tc>
          <w:tcPr>
            <w:tcW w:w="1275" w:type="dxa"/>
            <w:shd w:val="clear" w:color="auto" w:fill="FFCCCC"/>
            <w:vAlign w:val="center"/>
          </w:tcPr>
          <w:p w14:paraId="75BD98AC" w14:textId="77777777" w:rsidR="00D64D6C" w:rsidRPr="00DB4C2B" w:rsidRDefault="00D64D6C" w:rsidP="00D64D6C">
            <w:pPr>
              <w:jc w:val="center"/>
              <w:rPr>
                <w:rFonts w:ascii="Twinkl" w:hAnsi="Twinkl"/>
              </w:rPr>
            </w:pPr>
          </w:p>
        </w:tc>
      </w:tr>
      <w:tr w:rsidR="005B090A" w:rsidRPr="00DB4C2B" w14:paraId="1278B0B3" w14:textId="77777777" w:rsidTr="00FC7E2C">
        <w:trPr>
          <w:cantSplit/>
          <w:trHeight w:val="907"/>
        </w:trPr>
        <w:tc>
          <w:tcPr>
            <w:tcW w:w="5111" w:type="dxa"/>
            <w:gridSpan w:val="3"/>
            <w:shd w:val="clear" w:color="auto" w:fill="D0CECE" w:themeFill="background2" w:themeFillShade="E6"/>
            <w:vAlign w:val="center"/>
          </w:tcPr>
          <w:p w14:paraId="0A26152D" w14:textId="77777777" w:rsidR="005B090A" w:rsidRPr="00DB4C2B" w:rsidRDefault="005B090A" w:rsidP="005B090A">
            <w:pPr>
              <w:jc w:val="center"/>
              <w:rPr>
                <w:rFonts w:ascii="Twinkl" w:hAnsi="Twinkl"/>
                <w:b/>
                <w:sz w:val="32"/>
              </w:rPr>
            </w:pPr>
            <w:r w:rsidRPr="00DB4C2B">
              <w:rPr>
                <w:rFonts w:ascii="Twinkl" w:hAnsi="Twinkl"/>
                <w:b/>
                <w:sz w:val="32"/>
              </w:rPr>
              <w:t>Respond</w:t>
            </w:r>
          </w:p>
          <w:p w14:paraId="720705DC" w14:textId="77777777" w:rsidR="005B090A" w:rsidRPr="00DB4C2B" w:rsidRDefault="005B090A" w:rsidP="005B090A">
            <w:pPr>
              <w:jc w:val="center"/>
              <w:rPr>
                <w:rFonts w:ascii="Twinkl" w:hAnsi="Twinkl"/>
              </w:rPr>
            </w:pPr>
            <w:r w:rsidRPr="00DB4C2B">
              <w:rPr>
                <w:rFonts w:ascii="Twinkl" w:hAnsi="Twinkl"/>
              </w:rPr>
              <w:t>During this unit of study, pupils will be invited to respond to their learning, for example by:</w:t>
            </w:r>
          </w:p>
        </w:tc>
      </w:tr>
      <w:tr w:rsidR="00D64D6C" w:rsidRPr="00DB4C2B" w14:paraId="14566FBC" w14:textId="77777777" w:rsidTr="00E677D7">
        <w:trPr>
          <w:cantSplit/>
          <w:trHeight w:val="850"/>
        </w:trPr>
        <w:tc>
          <w:tcPr>
            <w:tcW w:w="494" w:type="dxa"/>
            <w:shd w:val="clear" w:color="auto" w:fill="D0CECE" w:themeFill="background2" w:themeFillShade="E6"/>
            <w:textDirection w:val="btLr"/>
            <w:vAlign w:val="center"/>
          </w:tcPr>
          <w:p w14:paraId="3B1F8C88" w14:textId="019CF3D8" w:rsidR="00D64D6C" w:rsidRPr="000A435F" w:rsidRDefault="00D64D6C" w:rsidP="00D64D6C">
            <w:pPr>
              <w:ind w:left="113" w:right="113"/>
              <w:jc w:val="center"/>
              <w:rPr>
                <w:rFonts w:ascii="Twinkl" w:hAnsi="Twinkl"/>
                <w:sz w:val="18"/>
                <w:szCs w:val="18"/>
              </w:rPr>
            </w:pPr>
            <w:r w:rsidRPr="000A435F">
              <w:rPr>
                <w:rFonts w:ascii="Twinkl" w:hAnsi="Twinkl"/>
                <w:sz w:val="18"/>
              </w:rPr>
              <w:t>R1.4.1.</w:t>
            </w:r>
          </w:p>
        </w:tc>
        <w:tc>
          <w:tcPr>
            <w:tcW w:w="3342" w:type="dxa"/>
            <w:shd w:val="clear" w:color="auto" w:fill="D0CECE" w:themeFill="background2" w:themeFillShade="E6"/>
            <w:vAlign w:val="center"/>
          </w:tcPr>
          <w:p w14:paraId="445F1E83" w14:textId="1AACB99E" w:rsidR="00D64D6C" w:rsidRPr="000A435F" w:rsidRDefault="00D64D6C" w:rsidP="00D64D6C">
            <w:pPr>
              <w:jc w:val="center"/>
              <w:rPr>
                <w:rFonts w:ascii="Twinkl" w:hAnsi="Twinkl"/>
                <w:sz w:val="18"/>
                <w:szCs w:val="18"/>
              </w:rPr>
            </w:pPr>
            <w:r w:rsidRPr="000A435F">
              <w:rPr>
                <w:rFonts w:ascii="Twinkl" w:hAnsi="Twinkl"/>
                <w:sz w:val="18"/>
              </w:rPr>
              <w:t>Recognising that fasting in Lent is giving something up to help others and CAFOD Family Fast Day is a way of doing this.</w:t>
            </w:r>
          </w:p>
        </w:tc>
        <w:tc>
          <w:tcPr>
            <w:tcW w:w="1275" w:type="dxa"/>
            <w:shd w:val="clear" w:color="auto" w:fill="D0CECE" w:themeFill="background2" w:themeFillShade="E6"/>
            <w:vAlign w:val="center"/>
          </w:tcPr>
          <w:p w14:paraId="10227104" w14:textId="77777777" w:rsidR="00D64D6C" w:rsidRPr="00DB4C2B" w:rsidRDefault="00D64D6C" w:rsidP="00D64D6C">
            <w:pPr>
              <w:jc w:val="center"/>
              <w:rPr>
                <w:rFonts w:ascii="Twinkl" w:hAnsi="Twinkl"/>
              </w:rPr>
            </w:pPr>
          </w:p>
        </w:tc>
      </w:tr>
      <w:tr w:rsidR="00D64D6C" w:rsidRPr="00DB4C2B" w14:paraId="06974C62" w14:textId="77777777" w:rsidTr="00E677D7">
        <w:trPr>
          <w:cantSplit/>
          <w:trHeight w:val="737"/>
        </w:trPr>
        <w:tc>
          <w:tcPr>
            <w:tcW w:w="494" w:type="dxa"/>
            <w:shd w:val="clear" w:color="auto" w:fill="D0CECE" w:themeFill="background2" w:themeFillShade="E6"/>
            <w:textDirection w:val="btLr"/>
            <w:vAlign w:val="center"/>
          </w:tcPr>
          <w:p w14:paraId="53094B80" w14:textId="5C75716C" w:rsidR="00D64D6C" w:rsidRPr="000A435F" w:rsidRDefault="00D64D6C" w:rsidP="00D64D6C">
            <w:pPr>
              <w:ind w:left="113" w:right="113"/>
              <w:jc w:val="center"/>
              <w:rPr>
                <w:rFonts w:ascii="Twinkl" w:hAnsi="Twinkl"/>
                <w:sz w:val="18"/>
                <w:szCs w:val="18"/>
              </w:rPr>
            </w:pPr>
            <w:r w:rsidRPr="000A435F">
              <w:rPr>
                <w:rFonts w:ascii="Twinkl" w:hAnsi="Twinkl"/>
                <w:sz w:val="18"/>
              </w:rPr>
              <w:t>R1.4.2.</w:t>
            </w:r>
          </w:p>
        </w:tc>
        <w:tc>
          <w:tcPr>
            <w:tcW w:w="3342" w:type="dxa"/>
            <w:shd w:val="clear" w:color="auto" w:fill="D0CECE" w:themeFill="background2" w:themeFillShade="E6"/>
            <w:vAlign w:val="center"/>
          </w:tcPr>
          <w:p w14:paraId="26A23CED" w14:textId="629705EA" w:rsidR="00D64D6C" w:rsidRPr="000A435F" w:rsidRDefault="00D64D6C" w:rsidP="00D64D6C">
            <w:pPr>
              <w:jc w:val="center"/>
              <w:rPr>
                <w:rFonts w:ascii="Twinkl" w:hAnsi="Twinkl"/>
                <w:sz w:val="18"/>
                <w:szCs w:val="18"/>
              </w:rPr>
            </w:pPr>
            <w:r w:rsidRPr="000A435F">
              <w:rPr>
                <w:rFonts w:ascii="Twinkl" w:hAnsi="Twinkl"/>
                <w:sz w:val="18"/>
              </w:rPr>
              <w:t>Considering what they might give up and choose to do to help others. (RVE)</w:t>
            </w:r>
          </w:p>
        </w:tc>
        <w:tc>
          <w:tcPr>
            <w:tcW w:w="1275" w:type="dxa"/>
            <w:shd w:val="clear" w:color="auto" w:fill="D0CECE" w:themeFill="background2" w:themeFillShade="E6"/>
            <w:vAlign w:val="center"/>
          </w:tcPr>
          <w:p w14:paraId="39081841" w14:textId="77777777" w:rsidR="00D64D6C" w:rsidRPr="00DB4C2B" w:rsidRDefault="00D64D6C" w:rsidP="00D64D6C">
            <w:pPr>
              <w:jc w:val="center"/>
              <w:rPr>
                <w:rFonts w:ascii="Twinkl" w:hAnsi="Twinkl"/>
              </w:rPr>
            </w:pPr>
          </w:p>
        </w:tc>
      </w:tr>
      <w:tr w:rsidR="00D64D6C" w:rsidRPr="00DB4C2B" w14:paraId="5B915A45" w14:textId="77777777" w:rsidTr="00E677D7">
        <w:trPr>
          <w:cantSplit/>
          <w:trHeight w:val="907"/>
        </w:trPr>
        <w:tc>
          <w:tcPr>
            <w:tcW w:w="494" w:type="dxa"/>
            <w:shd w:val="clear" w:color="auto" w:fill="D0CECE" w:themeFill="background2" w:themeFillShade="E6"/>
            <w:textDirection w:val="btLr"/>
            <w:vAlign w:val="center"/>
          </w:tcPr>
          <w:p w14:paraId="755A0C1D" w14:textId="3BBA7850" w:rsidR="00D64D6C" w:rsidRPr="000A435F" w:rsidRDefault="00D64D6C" w:rsidP="00D64D6C">
            <w:pPr>
              <w:ind w:left="113" w:right="113"/>
              <w:jc w:val="center"/>
              <w:rPr>
                <w:rFonts w:ascii="Twinkl" w:hAnsi="Twinkl"/>
                <w:sz w:val="18"/>
                <w:szCs w:val="18"/>
              </w:rPr>
            </w:pPr>
            <w:r w:rsidRPr="000A435F">
              <w:rPr>
                <w:rFonts w:ascii="Twinkl" w:hAnsi="Twinkl"/>
                <w:sz w:val="18"/>
              </w:rPr>
              <w:t>R1.4.3.</w:t>
            </w:r>
          </w:p>
        </w:tc>
        <w:tc>
          <w:tcPr>
            <w:tcW w:w="3342" w:type="dxa"/>
            <w:shd w:val="clear" w:color="auto" w:fill="D0CECE" w:themeFill="background2" w:themeFillShade="E6"/>
            <w:vAlign w:val="center"/>
          </w:tcPr>
          <w:p w14:paraId="1A8F9D70" w14:textId="3B276385" w:rsidR="00D64D6C" w:rsidRPr="000A435F" w:rsidRDefault="00D64D6C" w:rsidP="00D64D6C">
            <w:pPr>
              <w:jc w:val="center"/>
              <w:rPr>
                <w:rFonts w:ascii="Twinkl" w:hAnsi="Twinkl"/>
                <w:sz w:val="18"/>
                <w:szCs w:val="18"/>
              </w:rPr>
            </w:pPr>
            <w:r w:rsidRPr="000A435F">
              <w:rPr>
                <w:rFonts w:ascii="Twinkl" w:hAnsi="Twinkl"/>
                <w:sz w:val="18"/>
              </w:rPr>
              <w:t>Reflecting on what they know about Jesus including the events of the last week of Jesus’ life and his resurrection.</w:t>
            </w:r>
          </w:p>
        </w:tc>
        <w:tc>
          <w:tcPr>
            <w:tcW w:w="1275" w:type="dxa"/>
            <w:shd w:val="clear" w:color="auto" w:fill="D0CECE" w:themeFill="background2" w:themeFillShade="E6"/>
            <w:vAlign w:val="center"/>
          </w:tcPr>
          <w:p w14:paraId="1297908E" w14:textId="77777777" w:rsidR="00D64D6C" w:rsidRPr="00DB4C2B" w:rsidRDefault="00D64D6C" w:rsidP="00D64D6C">
            <w:pPr>
              <w:jc w:val="center"/>
              <w:rPr>
                <w:rFonts w:ascii="Twinkl" w:hAnsi="Twinkl"/>
              </w:rPr>
            </w:pPr>
          </w:p>
        </w:tc>
      </w:tr>
    </w:tbl>
    <w:p w14:paraId="3B8CF60E" w14:textId="25663BAB" w:rsidR="00FB6CEA" w:rsidRDefault="00C57FA3" w:rsidP="00FB6CEA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42FAA8D" wp14:editId="500BAF44">
            <wp:simplePos x="0" y="0"/>
            <wp:positionH relativeFrom="margin">
              <wp:align>center</wp:align>
            </wp:positionH>
            <wp:positionV relativeFrom="paragraph">
              <wp:posOffset>1905000</wp:posOffset>
            </wp:positionV>
            <wp:extent cx="2023533" cy="1517650"/>
            <wp:effectExtent l="0" t="0" r="0" b="6350"/>
            <wp:wrapNone/>
            <wp:docPr id="689504400" name="Picture 2" descr="They then led Jesus to the top of a hill known Golgotha, where He was crucified on a cross. On the evening of Jesus’ death, a man named Joseph of Arimathea went to the Roman governor Pilate and asked for Jesus’ body. Then Joseph and a few others took Jesus’ body from the cross, wrapped it in a linen cloth and placed it in a tomb. A big stone was rolled across the entrance of the tomb. – Sli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y then led Jesus to the top of a hill known Golgotha, where He was crucified on a cross. On the evening of Jesus’ death, a man named Joseph of Arimathea went to the Roman governor Pilate and asked for Jesus’ body. Then Joseph and a few others took Jesus’ body from the cross, wrapped it in a linen cloth and placed it in a tomb. A big stone was rolled across the entrance of the tomb. – Slid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533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6CEA">
        <w:rPr>
          <w:noProof/>
          <w:lang w:eastAsia="en-GB"/>
        </w:rPr>
        <w:drawing>
          <wp:inline distT="0" distB="0" distL="0" distR="0" wp14:anchorId="4AF1E12C" wp14:editId="4E186C62">
            <wp:extent cx="9777730" cy="1779151"/>
            <wp:effectExtent l="0" t="19050" r="33020" b="3111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4"/>
        <w:gridCol w:w="3342"/>
        <w:gridCol w:w="1275"/>
      </w:tblGrid>
      <w:tr w:rsidR="00FB6CEA" w:rsidRPr="00D64D6C" w14:paraId="5909C465" w14:textId="77777777" w:rsidTr="00D64D6C">
        <w:tc>
          <w:tcPr>
            <w:tcW w:w="5111" w:type="dxa"/>
            <w:gridSpan w:val="3"/>
            <w:shd w:val="clear" w:color="auto" w:fill="D9E2F3" w:themeFill="accent1" w:themeFillTint="33"/>
            <w:vAlign w:val="center"/>
          </w:tcPr>
          <w:p w14:paraId="29C83953" w14:textId="14A55D3B" w:rsidR="00FB6CEA" w:rsidRPr="00D64D6C" w:rsidRDefault="00FB6CEA" w:rsidP="00D64D6C">
            <w:pPr>
              <w:jc w:val="center"/>
              <w:rPr>
                <w:rFonts w:ascii="Twinkl" w:hAnsi="Twinkl"/>
                <w:b/>
                <w:sz w:val="32"/>
              </w:rPr>
            </w:pPr>
            <w:r w:rsidRPr="00D64D6C">
              <w:rPr>
                <w:rFonts w:ascii="Twinkl" w:hAnsi="Twinkl"/>
                <w:b/>
                <w:sz w:val="32"/>
              </w:rPr>
              <w:t>Understand</w:t>
            </w:r>
          </w:p>
          <w:p w14:paraId="014BEE83" w14:textId="77777777" w:rsidR="00FB6CEA" w:rsidRPr="00D64D6C" w:rsidRDefault="00FB6CEA" w:rsidP="00D64D6C">
            <w:pPr>
              <w:jc w:val="center"/>
              <w:rPr>
                <w:rFonts w:ascii="Twinkl" w:hAnsi="Twinkl"/>
              </w:rPr>
            </w:pPr>
            <w:r w:rsidRPr="00D64D6C">
              <w:rPr>
                <w:rFonts w:ascii="Twinkl" w:hAnsi="Twinkl"/>
              </w:rPr>
              <w:t>By the end of this unit of study, pupils will be able to:</w:t>
            </w:r>
          </w:p>
        </w:tc>
      </w:tr>
      <w:tr w:rsidR="00D64D6C" w:rsidRPr="00D64D6C" w14:paraId="5ED15802" w14:textId="77777777" w:rsidTr="00D64D6C">
        <w:trPr>
          <w:cantSplit/>
          <w:trHeight w:val="907"/>
        </w:trPr>
        <w:tc>
          <w:tcPr>
            <w:tcW w:w="494" w:type="dxa"/>
            <w:shd w:val="clear" w:color="auto" w:fill="D9E2F3" w:themeFill="accent1" w:themeFillTint="33"/>
            <w:textDirection w:val="btLr"/>
            <w:vAlign w:val="center"/>
          </w:tcPr>
          <w:p w14:paraId="66C0485B" w14:textId="1F438192" w:rsidR="00D64D6C" w:rsidRPr="00D64D6C" w:rsidRDefault="00D64D6C" w:rsidP="00D64D6C">
            <w:pPr>
              <w:ind w:left="113" w:right="113"/>
              <w:jc w:val="center"/>
              <w:rPr>
                <w:rFonts w:ascii="Twinkl" w:hAnsi="Twinkl"/>
                <w:sz w:val="18"/>
              </w:rPr>
            </w:pPr>
            <w:r w:rsidRPr="00D64D6C">
              <w:rPr>
                <w:rFonts w:ascii="Twinkl" w:hAnsi="Twinkl"/>
                <w:sz w:val="18"/>
              </w:rPr>
              <w:t>U1.4.1</w:t>
            </w:r>
          </w:p>
        </w:tc>
        <w:tc>
          <w:tcPr>
            <w:tcW w:w="3342" w:type="dxa"/>
            <w:shd w:val="clear" w:color="auto" w:fill="D9E2F3" w:themeFill="accent1" w:themeFillTint="33"/>
            <w:vAlign w:val="center"/>
          </w:tcPr>
          <w:p w14:paraId="79A4C56A" w14:textId="19615455" w:rsidR="00D64D6C" w:rsidRPr="00D64D6C" w:rsidRDefault="00D64D6C" w:rsidP="00D64D6C">
            <w:pPr>
              <w:jc w:val="center"/>
              <w:rPr>
                <w:rFonts w:ascii="Twinkl" w:hAnsi="Twinkl"/>
                <w:sz w:val="18"/>
              </w:rPr>
            </w:pPr>
            <w:r w:rsidRPr="00D64D6C">
              <w:rPr>
                <w:rFonts w:ascii="Twinkl" w:hAnsi="Twinkl"/>
                <w:sz w:val="18"/>
              </w:rPr>
              <w:t>Make simple connections between Jesus’ time in the desert (Lk 4:1-13) and Christians praying and fasting for forty days in Lent. (RVE)</w:t>
            </w:r>
          </w:p>
        </w:tc>
        <w:tc>
          <w:tcPr>
            <w:tcW w:w="1275" w:type="dxa"/>
            <w:shd w:val="clear" w:color="auto" w:fill="D9E2F3" w:themeFill="accent1" w:themeFillTint="33"/>
            <w:vAlign w:val="center"/>
          </w:tcPr>
          <w:p w14:paraId="41366519" w14:textId="77777777" w:rsidR="00D64D6C" w:rsidRPr="00D64D6C" w:rsidRDefault="00D64D6C" w:rsidP="00D64D6C">
            <w:pPr>
              <w:jc w:val="center"/>
              <w:rPr>
                <w:rFonts w:ascii="Twinkl" w:hAnsi="Twinkl"/>
              </w:rPr>
            </w:pPr>
          </w:p>
        </w:tc>
      </w:tr>
      <w:tr w:rsidR="00D64D6C" w:rsidRPr="00D64D6C" w14:paraId="6F8DC5BD" w14:textId="77777777" w:rsidTr="00D64D6C">
        <w:trPr>
          <w:cantSplit/>
          <w:trHeight w:val="907"/>
        </w:trPr>
        <w:tc>
          <w:tcPr>
            <w:tcW w:w="494" w:type="dxa"/>
            <w:shd w:val="clear" w:color="auto" w:fill="D9E2F3" w:themeFill="accent1" w:themeFillTint="33"/>
            <w:textDirection w:val="btLr"/>
            <w:vAlign w:val="center"/>
          </w:tcPr>
          <w:p w14:paraId="202A1C18" w14:textId="3D1601E6" w:rsidR="00D64D6C" w:rsidRPr="00D64D6C" w:rsidRDefault="00D64D6C" w:rsidP="00D64D6C">
            <w:pPr>
              <w:ind w:left="113" w:right="113"/>
              <w:jc w:val="center"/>
              <w:rPr>
                <w:rFonts w:ascii="Twinkl" w:hAnsi="Twinkl"/>
                <w:sz w:val="18"/>
              </w:rPr>
            </w:pPr>
            <w:r w:rsidRPr="00D64D6C">
              <w:rPr>
                <w:rFonts w:ascii="Twinkl" w:hAnsi="Twinkl"/>
                <w:sz w:val="18"/>
              </w:rPr>
              <w:t>U1.4.2</w:t>
            </w:r>
          </w:p>
        </w:tc>
        <w:tc>
          <w:tcPr>
            <w:tcW w:w="3342" w:type="dxa"/>
            <w:shd w:val="clear" w:color="auto" w:fill="D9E2F3" w:themeFill="accent1" w:themeFillTint="33"/>
            <w:vAlign w:val="center"/>
          </w:tcPr>
          <w:p w14:paraId="0A84969E" w14:textId="30C87D51" w:rsidR="00D64D6C" w:rsidRPr="00D64D6C" w:rsidRDefault="00D64D6C" w:rsidP="00D64D6C">
            <w:pPr>
              <w:jc w:val="center"/>
              <w:rPr>
                <w:rFonts w:ascii="Twinkl" w:hAnsi="Twinkl"/>
                <w:sz w:val="18"/>
              </w:rPr>
            </w:pPr>
            <w:r w:rsidRPr="00D64D6C">
              <w:rPr>
                <w:rFonts w:ascii="Twinkl" w:hAnsi="Twinkl"/>
                <w:sz w:val="18"/>
              </w:rPr>
              <w:t>Recognise that Jesus shows the importance of giving to others, making simple connections with the story of the widow’s mite (Lk 21:1-6) and the season of Lent.</w:t>
            </w:r>
          </w:p>
        </w:tc>
        <w:tc>
          <w:tcPr>
            <w:tcW w:w="1275" w:type="dxa"/>
            <w:shd w:val="clear" w:color="auto" w:fill="D9E2F3" w:themeFill="accent1" w:themeFillTint="33"/>
            <w:vAlign w:val="center"/>
          </w:tcPr>
          <w:p w14:paraId="1B92F355" w14:textId="77777777" w:rsidR="00D64D6C" w:rsidRPr="00D64D6C" w:rsidRDefault="00D64D6C" w:rsidP="00D64D6C">
            <w:pPr>
              <w:jc w:val="center"/>
              <w:rPr>
                <w:rFonts w:ascii="Twinkl" w:hAnsi="Twinkl"/>
              </w:rPr>
            </w:pPr>
          </w:p>
        </w:tc>
      </w:tr>
      <w:tr w:rsidR="00D64D6C" w:rsidRPr="00D64D6C" w14:paraId="2DDAF79F" w14:textId="77777777" w:rsidTr="00D64D6C">
        <w:trPr>
          <w:cantSplit/>
          <w:trHeight w:val="907"/>
        </w:trPr>
        <w:tc>
          <w:tcPr>
            <w:tcW w:w="494" w:type="dxa"/>
            <w:shd w:val="clear" w:color="auto" w:fill="D9E2F3" w:themeFill="accent1" w:themeFillTint="33"/>
            <w:textDirection w:val="btLr"/>
            <w:vAlign w:val="center"/>
          </w:tcPr>
          <w:p w14:paraId="2CE7D6E7" w14:textId="725F4C81" w:rsidR="00D64D6C" w:rsidRPr="00D64D6C" w:rsidRDefault="00D64D6C" w:rsidP="00D64D6C">
            <w:pPr>
              <w:ind w:left="113" w:right="113"/>
              <w:jc w:val="center"/>
              <w:rPr>
                <w:rFonts w:ascii="Twinkl" w:hAnsi="Twinkl"/>
                <w:sz w:val="18"/>
              </w:rPr>
            </w:pPr>
            <w:r w:rsidRPr="00D64D6C">
              <w:rPr>
                <w:rFonts w:ascii="Twinkl" w:hAnsi="Twinkl"/>
                <w:sz w:val="18"/>
              </w:rPr>
              <w:t>U1.4.3</w:t>
            </w:r>
          </w:p>
        </w:tc>
        <w:tc>
          <w:tcPr>
            <w:tcW w:w="3342" w:type="dxa"/>
            <w:shd w:val="clear" w:color="auto" w:fill="D9E2F3" w:themeFill="accent1" w:themeFillTint="33"/>
            <w:vAlign w:val="center"/>
          </w:tcPr>
          <w:p w14:paraId="552C1D7B" w14:textId="38E8845D" w:rsidR="00D64D6C" w:rsidRPr="00D64D6C" w:rsidRDefault="00D64D6C" w:rsidP="00D64D6C">
            <w:pPr>
              <w:jc w:val="center"/>
              <w:rPr>
                <w:rFonts w:ascii="Twinkl" w:hAnsi="Twinkl"/>
                <w:sz w:val="18"/>
              </w:rPr>
            </w:pPr>
            <w:r w:rsidRPr="00D64D6C">
              <w:rPr>
                <w:rFonts w:ascii="Twinkl" w:hAnsi="Twinkl"/>
                <w:sz w:val="18"/>
              </w:rPr>
              <w:t>Correctly sequence the events of the last week of Jesus’ life.</w:t>
            </w:r>
          </w:p>
        </w:tc>
        <w:tc>
          <w:tcPr>
            <w:tcW w:w="1275" w:type="dxa"/>
            <w:shd w:val="clear" w:color="auto" w:fill="D9E2F3" w:themeFill="accent1" w:themeFillTint="33"/>
            <w:vAlign w:val="center"/>
          </w:tcPr>
          <w:p w14:paraId="1873CF0D" w14:textId="77777777" w:rsidR="00D64D6C" w:rsidRPr="00D64D6C" w:rsidRDefault="00D64D6C" w:rsidP="00D64D6C">
            <w:pPr>
              <w:jc w:val="center"/>
              <w:rPr>
                <w:rFonts w:ascii="Twinkl" w:hAnsi="Twinkl"/>
              </w:rPr>
            </w:pPr>
          </w:p>
        </w:tc>
      </w:tr>
      <w:tr w:rsidR="00D64D6C" w:rsidRPr="00D64D6C" w14:paraId="2858B626" w14:textId="77777777" w:rsidTr="00D64D6C">
        <w:trPr>
          <w:cantSplit/>
          <w:trHeight w:val="907"/>
        </w:trPr>
        <w:tc>
          <w:tcPr>
            <w:tcW w:w="494" w:type="dxa"/>
            <w:shd w:val="clear" w:color="auto" w:fill="D9E2F3" w:themeFill="accent1" w:themeFillTint="33"/>
            <w:textDirection w:val="btLr"/>
            <w:vAlign w:val="center"/>
          </w:tcPr>
          <w:p w14:paraId="445A56B1" w14:textId="615DFF19" w:rsidR="00D64D6C" w:rsidRPr="00D64D6C" w:rsidRDefault="00D64D6C" w:rsidP="00D64D6C">
            <w:pPr>
              <w:ind w:left="113" w:right="113"/>
              <w:jc w:val="center"/>
              <w:rPr>
                <w:rFonts w:ascii="Twinkl" w:hAnsi="Twinkl"/>
                <w:sz w:val="18"/>
              </w:rPr>
            </w:pPr>
            <w:r w:rsidRPr="00D64D6C">
              <w:rPr>
                <w:rFonts w:ascii="Twinkl" w:hAnsi="Twinkl"/>
                <w:sz w:val="18"/>
              </w:rPr>
              <w:t>U1.4.4</w:t>
            </w:r>
          </w:p>
        </w:tc>
        <w:tc>
          <w:tcPr>
            <w:tcW w:w="3342" w:type="dxa"/>
            <w:shd w:val="clear" w:color="auto" w:fill="D9E2F3" w:themeFill="accent1" w:themeFillTint="33"/>
            <w:vAlign w:val="center"/>
          </w:tcPr>
          <w:p w14:paraId="58BCAC86" w14:textId="42B6696B" w:rsidR="00D64D6C" w:rsidRPr="00D64D6C" w:rsidRDefault="00D64D6C" w:rsidP="00D64D6C">
            <w:pPr>
              <w:jc w:val="center"/>
              <w:rPr>
                <w:rFonts w:ascii="Twinkl" w:hAnsi="Twinkl"/>
                <w:sz w:val="18"/>
              </w:rPr>
            </w:pPr>
            <w:r w:rsidRPr="00D64D6C">
              <w:rPr>
                <w:rFonts w:ascii="Twinkl" w:hAnsi="Twinkl"/>
                <w:sz w:val="18"/>
              </w:rPr>
              <w:t>Recognise that angels bring God’s message and are a sign the Jesus is the Son of God, truly alive.</w:t>
            </w:r>
          </w:p>
        </w:tc>
        <w:tc>
          <w:tcPr>
            <w:tcW w:w="1275" w:type="dxa"/>
            <w:shd w:val="clear" w:color="auto" w:fill="D9E2F3" w:themeFill="accent1" w:themeFillTint="33"/>
            <w:vAlign w:val="center"/>
          </w:tcPr>
          <w:p w14:paraId="593383EB" w14:textId="77777777" w:rsidR="00D64D6C" w:rsidRPr="00D64D6C" w:rsidRDefault="00D64D6C" w:rsidP="00D64D6C">
            <w:pPr>
              <w:jc w:val="center"/>
              <w:rPr>
                <w:rFonts w:ascii="Twinkl" w:hAnsi="Twinkl"/>
              </w:rPr>
            </w:pPr>
          </w:p>
        </w:tc>
      </w:tr>
      <w:tr w:rsidR="00D64D6C" w:rsidRPr="00D64D6C" w14:paraId="69102C58" w14:textId="77777777" w:rsidTr="00D64D6C">
        <w:trPr>
          <w:cantSplit/>
          <w:trHeight w:val="907"/>
        </w:trPr>
        <w:tc>
          <w:tcPr>
            <w:tcW w:w="494" w:type="dxa"/>
            <w:shd w:val="clear" w:color="auto" w:fill="D9E2F3" w:themeFill="accent1" w:themeFillTint="33"/>
            <w:textDirection w:val="btLr"/>
            <w:vAlign w:val="center"/>
          </w:tcPr>
          <w:p w14:paraId="66062E35" w14:textId="5152094C" w:rsidR="00D64D6C" w:rsidRPr="00D64D6C" w:rsidRDefault="00D64D6C" w:rsidP="00D64D6C">
            <w:pPr>
              <w:ind w:left="113" w:right="113"/>
              <w:jc w:val="center"/>
              <w:rPr>
                <w:rFonts w:ascii="Twinkl" w:hAnsi="Twinkl"/>
                <w:sz w:val="18"/>
              </w:rPr>
            </w:pPr>
            <w:r w:rsidRPr="00D64D6C">
              <w:rPr>
                <w:rFonts w:ascii="Twinkl" w:hAnsi="Twinkl"/>
                <w:sz w:val="18"/>
              </w:rPr>
              <w:t>U1.4.5</w:t>
            </w:r>
          </w:p>
        </w:tc>
        <w:tc>
          <w:tcPr>
            <w:tcW w:w="3342" w:type="dxa"/>
            <w:shd w:val="clear" w:color="auto" w:fill="D9E2F3" w:themeFill="accent1" w:themeFillTint="33"/>
            <w:vAlign w:val="center"/>
          </w:tcPr>
          <w:p w14:paraId="16278418" w14:textId="139DE575" w:rsidR="00D64D6C" w:rsidRPr="00D64D6C" w:rsidRDefault="00D64D6C" w:rsidP="00D64D6C">
            <w:pPr>
              <w:jc w:val="center"/>
              <w:rPr>
                <w:rFonts w:ascii="Twinkl" w:hAnsi="Twinkl"/>
                <w:sz w:val="18"/>
              </w:rPr>
            </w:pPr>
            <w:r w:rsidRPr="00D64D6C">
              <w:rPr>
                <w:rFonts w:ascii="Twinkl" w:hAnsi="Twinkl"/>
                <w:sz w:val="18"/>
              </w:rPr>
              <w:t>Recognise that the Church teaches that Jesus suffered, died, and rose again.</w:t>
            </w:r>
          </w:p>
        </w:tc>
        <w:tc>
          <w:tcPr>
            <w:tcW w:w="1275" w:type="dxa"/>
            <w:shd w:val="clear" w:color="auto" w:fill="D9E2F3" w:themeFill="accent1" w:themeFillTint="33"/>
            <w:vAlign w:val="center"/>
          </w:tcPr>
          <w:p w14:paraId="05034239" w14:textId="77777777" w:rsidR="00D64D6C" w:rsidRPr="00D64D6C" w:rsidRDefault="00D64D6C" w:rsidP="00D64D6C">
            <w:pPr>
              <w:jc w:val="center"/>
              <w:rPr>
                <w:rFonts w:ascii="Twinkl" w:hAnsi="Twinkl"/>
              </w:rPr>
            </w:pPr>
          </w:p>
        </w:tc>
      </w:tr>
      <w:tr w:rsidR="00D64D6C" w:rsidRPr="00D64D6C" w14:paraId="446E907C" w14:textId="77777777" w:rsidTr="00D64D6C">
        <w:trPr>
          <w:cantSplit/>
          <w:trHeight w:val="907"/>
        </w:trPr>
        <w:tc>
          <w:tcPr>
            <w:tcW w:w="494" w:type="dxa"/>
            <w:shd w:val="clear" w:color="auto" w:fill="D9E2F3" w:themeFill="accent1" w:themeFillTint="33"/>
            <w:textDirection w:val="btLr"/>
            <w:vAlign w:val="center"/>
          </w:tcPr>
          <w:p w14:paraId="5B4829C4" w14:textId="15B32529" w:rsidR="00D64D6C" w:rsidRPr="00D64D6C" w:rsidRDefault="00D64D6C" w:rsidP="00D64D6C">
            <w:pPr>
              <w:ind w:left="113" w:right="113"/>
              <w:jc w:val="center"/>
              <w:rPr>
                <w:rFonts w:ascii="Twinkl" w:hAnsi="Twinkl"/>
                <w:sz w:val="18"/>
              </w:rPr>
            </w:pPr>
            <w:r w:rsidRPr="00D64D6C">
              <w:rPr>
                <w:rFonts w:ascii="Twinkl" w:hAnsi="Twinkl"/>
                <w:sz w:val="18"/>
              </w:rPr>
              <w:t>U1.4.6</w:t>
            </w:r>
          </w:p>
        </w:tc>
        <w:tc>
          <w:tcPr>
            <w:tcW w:w="3342" w:type="dxa"/>
            <w:shd w:val="clear" w:color="auto" w:fill="D9E2F3" w:themeFill="accent1" w:themeFillTint="33"/>
            <w:vAlign w:val="center"/>
          </w:tcPr>
          <w:p w14:paraId="7A77314C" w14:textId="2B78638A" w:rsidR="00D64D6C" w:rsidRPr="00D64D6C" w:rsidRDefault="00D64D6C" w:rsidP="00D64D6C">
            <w:pPr>
              <w:jc w:val="center"/>
              <w:rPr>
                <w:rFonts w:ascii="Twinkl" w:hAnsi="Twinkl"/>
                <w:sz w:val="18"/>
              </w:rPr>
            </w:pPr>
            <w:r w:rsidRPr="00D64D6C">
              <w:rPr>
                <w:rFonts w:ascii="Twinkl" w:hAnsi="Twinkl"/>
                <w:sz w:val="18"/>
              </w:rPr>
              <w:t>Recognise simple connections between the use of ashes and the Christian belief that Lent is an opportunity for a new start.</w:t>
            </w:r>
          </w:p>
        </w:tc>
        <w:tc>
          <w:tcPr>
            <w:tcW w:w="1275" w:type="dxa"/>
            <w:shd w:val="clear" w:color="auto" w:fill="D9E2F3" w:themeFill="accent1" w:themeFillTint="33"/>
            <w:vAlign w:val="center"/>
          </w:tcPr>
          <w:p w14:paraId="49AB1C6E" w14:textId="77777777" w:rsidR="00D64D6C" w:rsidRPr="00D64D6C" w:rsidRDefault="00D64D6C" w:rsidP="00D64D6C">
            <w:pPr>
              <w:jc w:val="center"/>
              <w:rPr>
                <w:rFonts w:ascii="Twinkl" w:hAnsi="Twinkl"/>
              </w:rPr>
            </w:pPr>
          </w:p>
        </w:tc>
      </w:tr>
    </w:tbl>
    <w:p w14:paraId="654B653F" w14:textId="2528B2F6" w:rsidR="00FB6CEA" w:rsidRDefault="00FB6CEA" w:rsidP="00FB6CEA">
      <w:pPr>
        <w:jc w:val="center"/>
      </w:pPr>
    </w:p>
    <w:p w14:paraId="1878040C" w14:textId="409409B9" w:rsidR="00FB6CEA" w:rsidRPr="003400DF" w:rsidRDefault="00FB6CEA" w:rsidP="00FB6CEA"/>
    <w:p w14:paraId="4F4008E4" w14:textId="437A5429" w:rsidR="00FB6CEA" w:rsidRDefault="00FB6CEA" w:rsidP="00FB6CEA">
      <w:pPr>
        <w:jc w:val="center"/>
      </w:pPr>
    </w:p>
    <w:p w14:paraId="66A1E612" w14:textId="1671B5A9" w:rsidR="00C338F2" w:rsidRDefault="00D64D6C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CF2B4E5" wp14:editId="4AB5D420">
            <wp:simplePos x="0" y="0"/>
            <wp:positionH relativeFrom="margin">
              <wp:align>center</wp:align>
            </wp:positionH>
            <wp:positionV relativeFrom="paragraph">
              <wp:posOffset>723236</wp:posOffset>
            </wp:positionV>
            <wp:extent cx="2700957" cy="1349251"/>
            <wp:effectExtent l="0" t="0" r="4445" b="3810"/>
            <wp:wrapNone/>
            <wp:docPr id="7" name="Picture 7" descr="40 The Last Supper Facts: Theories and Mysteries That You Can't Mi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0 The Last Supper Facts: Theories and Mysteries That You Can't Mis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957" cy="1349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3A2566" wp14:editId="1876E554">
                <wp:simplePos x="0" y="0"/>
                <wp:positionH relativeFrom="margin">
                  <wp:posOffset>3396871</wp:posOffset>
                </wp:positionH>
                <wp:positionV relativeFrom="paragraph">
                  <wp:posOffset>2150943</wp:posOffset>
                </wp:positionV>
                <wp:extent cx="3014980" cy="1651483"/>
                <wp:effectExtent l="19050" t="19050" r="13970" b="2540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4980" cy="165148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0A7DD" w14:textId="77777777" w:rsidR="00FB6CEA" w:rsidRPr="00DB4C2B" w:rsidRDefault="00FB6CEA" w:rsidP="00FB6CEA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 w:rsidRPr="00DB4C2B">
                              <w:rPr>
                                <w:rFonts w:ascii="Twinkl" w:hAnsi="Twink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Key Vocabulary</w:t>
                            </w:r>
                          </w:p>
                          <w:p w14:paraId="48340E90" w14:textId="7D611A3D" w:rsidR="00D64D6C" w:rsidRPr="00D64D6C" w:rsidRDefault="00D64D6C" w:rsidP="00D64D6C">
                            <w:pPr>
                              <w:spacing w:after="76"/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64D6C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32"/>
                              </w:rPr>
                              <w:t>Temptation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D64D6C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32"/>
                              </w:rPr>
                              <w:t>Last Supper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D64D6C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32"/>
                              </w:rPr>
                              <w:t>Crucifixion</w:t>
                            </w:r>
                          </w:p>
                          <w:p w14:paraId="27005C9B" w14:textId="40667CB5" w:rsidR="00D64D6C" w:rsidRPr="00D64D6C" w:rsidRDefault="00D64D6C" w:rsidP="00D64D6C">
                            <w:pPr>
                              <w:spacing w:after="76"/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64D6C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32"/>
                              </w:rPr>
                              <w:t>Resurrection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D64D6C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32"/>
                              </w:rPr>
                              <w:t>Ash Wednesday</w:t>
                            </w:r>
                          </w:p>
                          <w:p w14:paraId="6013195E" w14:textId="7265EA63" w:rsidR="00D64D6C" w:rsidRPr="00D64D6C" w:rsidRDefault="00D64D6C" w:rsidP="00D64D6C">
                            <w:pPr>
                              <w:spacing w:after="76"/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64D6C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32"/>
                              </w:rPr>
                              <w:t>Palm Sunday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D64D6C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32"/>
                              </w:rPr>
                              <w:t>Lent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Pr="00D64D6C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32"/>
                              </w:rPr>
                              <w:t>Easter</w:t>
                            </w:r>
                          </w:p>
                          <w:p w14:paraId="2EB4020D" w14:textId="5C7ADAE6" w:rsidR="00FB6CEA" w:rsidRPr="00D64D6C" w:rsidRDefault="00D64D6C" w:rsidP="00D64D6C">
                            <w:pPr>
                              <w:spacing w:after="76"/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64D6C">
                              <w:rPr>
                                <w:rFonts w:ascii="Twinkl" w:hAnsi="Twinkl"/>
                                <w:color w:val="000000" w:themeColor="text1"/>
                                <w:sz w:val="24"/>
                                <w:szCs w:val="32"/>
                              </w:rPr>
                              <w:t>Family Fast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E3A2566" id="Rectangle: Rounded Corners 3" o:spid="_x0000_s1026" style="position:absolute;margin-left:267.45pt;margin-top:169.35pt;width:237.4pt;height:130.0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" filled="f" strokecolor="#0070c0" strokeweight="3pt">
                <v:stroke joinstyle="miter"/>
                <v:textbox>
                  <w:txbxContent>
                    <w:p w14:paraId="62D0A7DD" w14:textId="77777777" w:rsidR="00FB6CEA" w:rsidRPr="00DB4C2B" w:rsidRDefault="00FB6CEA" w:rsidP="00FB6CEA">
                      <w:pPr>
                        <w:jc w:val="center"/>
                        <w:rPr>
                          <w:rFonts w:ascii="Twinkl" w:hAnsi="Twink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 w:rsidRPr="00DB4C2B">
                        <w:rPr>
                          <w:rFonts w:ascii="Twinkl" w:hAnsi="Twinkl"/>
                          <w:b/>
                          <w:color w:val="000000" w:themeColor="text1"/>
                          <w:sz w:val="32"/>
                          <w:lang w:val="en-US"/>
                        </w:rPr>
                        <w:t>Key Vocabulary</w:t>
                      </w:r>
                    </w:p>
                    <w:p w14:paraId="48340E90" w14:textId="7D611A3D" w:rsidR="00D64D6C" w:rsidRPr="00D64D6C" w:rsidRDefault="00D64D6C" w:rsidP="00D64D6C">
                      <w:pPr>
                        <w:spacing w:after="76"/>
                        <w:jc w:val="center"/>
                        <w:rPr>
                          <w:rFonts w:ascii="Twinkl" w:hAnsi="Twinkl"/>
                          <w:color w:val="000000" w:themeColor="text1"/>
                          <w:sz w:val="32"/>
                          <w:szCs w:val="32"/>
                        </w:rPr>
                      </w:pPr>
                      <w:r w:rsidRPr="00D64D6C">
                        <w:rPr>
                          <w:rFonts w:ascii="Twinkl" w:hAnsi="Twinkl"/>
                          <w:color w:val="000000" w:themeColor="text1"/>
                          <w:sz w:val="24"/>
                          <w:szCs w:val="32"/>
                        </w:rPr>
                        <w:t>Temptation</w:t>
                      </w:r>
                      <w:r>
                        <w:rPr>
                          <w:rFonts w:ascii="Twinkl" w:hAnsi="Twinkl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D64D6C">
                        <w:rPr>
                          <w:rFonts w:ascii="Twinkl" w:hAnsi="Twinkl"/>
                          <w:color w:val="000000" w:themeColor="text1"/>
                          <w:sz w:val="24"/>
                          <w:szCs w:val="32"/>
                        </w:rPr>
                        <w:t>Last Supper</w:t>
                      </w:r>
                      <w:r>
                        <w:rPr>
                          <w:rFonts w:ascii="Twinkl" w:hAnsi="Twinkl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D64D6C">
                        <w:rPr>
                          <w:rFonts w:ascii="Twinkl" w:hAnsi="Twinkl"/>
                          <w:color w:val="000000" w:themeColor="text1"/>
                          <w:sz w:val="24"/>
                          <w:szCs w:val="32"/>
                        </w:rPr>
                        <w:t>Crucifixion</w:t>
                      </w:r>
                    </w:p>
                    <w:p w14:paraId="27005C9B" w14:textId="40667CB5" w:rsidR="00D64D6C" w:rsidRPr="00D64D6C" w:rsidRDefault="00D64D6C" w:rsidP="00D64D6C">
                      <w:pPr>
                        <w:spacing w:after="76"/>
                        <w:jc w:val="center"/>
                        <w:rPr>
                          <w:rFonts w:ascii="Twinkl" w:hAnsi="Twinkl"/>
                          <w:color w:val="000000" w:themeColor="text1"/>
                          <w:sz w:val="32"/>
                          <w:szCs w:val="32"/>
                        </w:rPr>
                      </w:pPr>
                      <w:r w:rsidRPr="00D64D6C">
                        <w:rPr>
                          <w:rFonts w:ascii="Twinkl" w:hAnsi="Twinkl"/>
                          <w:color w:val="000000" w:themeColor="text1"/>
                          <w:sz w:val="24"/>
                          <w:szCs w:val="32"/>
                        </w:rPr>
                        <w:t>Resurrection</w:t>
                      </w:r>
                      <w:r>
                        <w:rPr>
                          <w:rFonts w:ascii="Twinkl" w:hAnsi="Twinkl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D64D6C">
                        <w:rPr>
                          <w:rFonts w:ascii="Twinkl" w:hAnsi="Twinkl"/>
                          <w:color w:val="000000" w:themeColor="text1"/>
                          <w:sz w:val="24"/>
                          <w:szCs w:val="32"/>
                        </w:rPr>
                        <w:t>Ash Wednesday</w:t>
                      </w:r>
                    </w:p>
                    <w:p w14:paraId="6013195E" w14:textId="7265EA63" w:rsidR="00D64D6C" w:rsidRPr="00D64D6C" w:rsidRDefault="00D64D6C" w:rsidP="00D64D6C">
                      <w:pPr>
                        <w:spacing w:after="76"/>
                        <w:jc w:val="center"/>
                        <w:rPr>
                          <w:rFonts w:ascii="Twinkl" w:hAnsi="Twinkl"/>
                          <w:color w:val="000000" w:themeColor="text1"/>
                          <w:sz w:val="32"/>
                          <w:szCs w:val="32"/>
                        </w:rPr>
                      </w:pPr>
                      <w:r w:rsidRPr="00D64D6C">
                        <w:rPr>
                          <w:rFonts w:ascii="Twinkl" w:hAnsi="Twinkl"/>
                          <w:color w:val="000000" w:themeColor="text1"/>
                          <w:sz w:val="24"/>
                          <w:szCs w:val="32"/>
                        </w:rPr>
                        <w:t>Palm Sunday</w:t>
                      </w:r>
                      <w:r>
                        <w:rPr>
                          <w:rFonts w:ascii="Twinkl" w:hAnsi="Twinkl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D64D6C">
                        <w:rPr>
                          <w:rFonts w:ascii="Twinkl" w:hAnsi="Twinkl"/>
                          <w:color w:val="000000" w:themeColor="text1"/>
                          <w:sz w:val="24"/>
                          <w:szCs w:val="32"/>
                        </w:rPr>
                        <w:t>Lent</w:t>
                      </w:r>
                      <w:r>
                        <w:rPr>
                          <w:rFonts w:ascii="Twinkl" w:hAnsi="Twinkl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Pr="00D64D6C">
                        <w:rPr>
                          <w:rFonts w:ascii="Twinkl" w:hAnsi="Twinkl"/>
                          <w:color w:val="000000" w:themeColor="text1"/>
                          <w:sz w:val="24"/>
                          <w:szCs w:val="32"/>
                        </w:rPr>
                        <w:t>Easter</w:t>
                      </w:r>
                    </w:p>
                    <w:p w14:paraId="2EB4020D" w14:textId="5C7ADAE6" w:rsidR="00FB6CEA" w:rsidRPr="00D64D6C" w:rsidRDefault="00D64D6C" w:rsidP="00D64D6C">
                      <w:pPr>
                        <w:spacing w:after="76"/>
                        <w:jc w:val="center"/>
                        <w:rPr>
                          <w:rFonts w:ascii="Twinkl" w:hAnsi="Twinkl"/>
                          <w:color w:val="000000" w:themeColor="text1"/>
                          <w:sz w:val="32"/>
                          <w:szCs w:val="32"/>
                        </w:rPr>
                      </w:pPr>
                      <w:r w:rsidRPr="00D64D6C">
                        <w:rPr>
                          <w:rFonts w:ascii="Twinkl" w:hAnsi="Twinkl"/>
                          <w:color w:val="000000" w:themeColor="text1"/>
                          <w:sz w:val="24"/>
                          <w:szCs w:val="32"/>
                        </w:rPr>
                        <w:t>Family Fast Day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C338F2" w:rsidSect="00E1272F">
      <w:pgSz w:w="16838" w:h="11906" w:orient="landscape"/>
      <w:pgMar w:top="720" w:right="720" w:bottom="720" w:left="720" w:header="708" w:footer="708" w:gutter="0"/>
      <w:pgBorders w:offsetFrom="page">
        <w:top w:val="tornPaperBlack" w:sz="20" w:space="24" w:color="auto"/>
        <w:left w:val="tornPaperBlack" w:sz="20" w:space="24" w:color="auto"/>
        <w:bottom w:val="tornPaperBlack" w:sz="20" w:space="24" w:color="auto"/>
        <w:right w:val="tornPaperBlack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CEA"/>
    <w:rsid w:val="000A435F"/>
    <w:rsid w:val="000E59F3"/>
    <w:rsid w:val="0029065E"/>
    <w:rsid w:val="005B090A"/>
    <w:rsid w:val="0066009F"/>
    <w:rsid w:val="006F6716"/>
    <w:rsid w:val="00864E48"/>
    <w:rsid w:val="00C338F2"/>
    <w:rsid w:val="00C57FA3"/>
    <w:rsid w:val="00D64D6C"/>
    <w:rsid w:val="00DF7EA7"/>
    <w:rsid w:val="00E1272F"/>
    <w:rsid w:val="00E677D7"/>
    <w:rsid w:val="00FB6CEA"/>
    <w:rsid w:val="00FC7E2C"/>
    <w:rsid w:val="00FD3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FD954"/>
  <w15:chartTrackingRefBased/>
  <w15:docId w15:val="{9A4D36DB-8F04-4481-97E7-F944A8F9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6C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C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tyles" Target="style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FE5D4E-6B4C-4D28-808C-FC110691AF0A}" type="doc">
      <dgm:prSet loTypeId="urn:microsoft.com/office/officeart/2005/8/layout/hProcess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A991CFB-08DF-4AB3-8B34-5E8ED86C2243}">
      <dgm:prSet phldrT="[Text]"/>
      <dgm:spPr>
        <a:solidFill>
          <a:srgbClr val="7030A0"/>
        </a:solidFill>
      </dgm:spPr>
      <dgm:t>
        <a:bodyPr/>
        <a:lstStyle/>
        <a:p>
          <a:r>
            <a:rPr lang="en-GB">
              <a:latin typeface="Twinkl" pitchFamily="2" charset="0"/>
            </a:rPr>
            <a:t>Remember in Reception, we learned:</a:t>
          </a:r>
        </a:p>
      </dgm:t>
    </dgm:pt>
    <dgm:pt modelId="{CCD67DA0-F924-4AE3-B869-5E2568E60588}" type="parTrans" cxnId="{8880C954-1C9E-4753-BEF5-E855FA71B80F}">
      <dgm:prSet/>
      <dgm:spPr/>
      <dgm:t>
        <a:bodyPr/>
        <a:lstStyle/>
        <a:p>
          <a:endParaRPr lang="en-GB"/>
        </a:p>
      </dgm:t>
    </dgm:pt>
    <dgm:pt modelId="{70E51A3C-E570-4EE4-AD99-7963BD466CAF}" type="sibTrans" cxnId="{8880C954-1C9E-4753-BEF5-E855FA71B80F}">
      <dgm:prSet/>
      <dgm:spPr/>
      <dgm:t>
        <a:bodyPr/>
        <a:lstStyle/>
        <a:p>
          <a:endParaRPr lang="en-GB"/>
        </a:p>
      </dgm:t>
    </dgm:pt>
    <dgm:pt modelId="{91389BE3-7DE7-44B2-B426-15DB9D0603E6}">
      <dgm:prSet phldrT="[Text]"/>
      <dgm:spPr>
        <a:solidFill>
          <a:srgbClr val="CC66FF">
            <a:alpha val="89804"/>
          </a:srgbClr>
        </a:solidFill>
      </dgm:spPr>
      <dgm:t>
        <a:bodyPr/>
        <a:lstStyle/>
        <a:p>
          <a:pPr algn="l"/>
          <a:r>
            <a:rPr lang="en-GB">
              <a:latin typeface="Twinkl" pitchFamily="2" charset="0"/>
            </a:rPr>
            <a:t>Easter is a celebration that Jesus is still with us. </a:t>
          </a:r>
        </a:p>
      </dgm:t>
    </dgm:pt>
    <dgm:pt modelId="{43F9AF80-B297-40F0-9AE3-23765EC87F0F}" type="parTrans" cxnId="{FB5132A1-1C36-4D55-A152-1E9FA21C4DFD}">
      <dgm:prSet/>
      <dgm:spPr/>
      <dgm:t>
        <a:bodyPr/>
        <a:lstStyle/>
        <a:p>
          <a:endParaRPr lang="en-GB"/>
        </a:p>
      </dgm:t>
    </dgm:pt>
    <dgm:pt modelId="{3A58893F-5A40-4E84-BD65-5CC4E9E13319}" type="sibTrans" cxnId="{FB5132A1-1C36-4D55-A152-1E9FA21C4DFD}">
      <dgm:prSet/>
      <dgm:spPr/>
      <dgm:t>
        <a:bodyPr/>
        <a:lstStyle/>
        <a:p>
          <a:endParaRPr lang="en-GB"/>
        </a:p>
      </dgm:t>
    </dgm:pt>
    <dgm:pt modelId="{F7261DF2-C3A6-4762-B449-D4215AAF9FE1}">
      <dgm:prSet phldrT="[Text]" custT="1"/>
      <dgm:spPr>
        <a:solidFill>
          <a:srgbClr val="CC66FF">
            <a:alpha val="90000"/>
          </a:srgbClr>
        </a:solidFill>
      </dgm:spPr>
      <dgm:t>
        <a:bodyPr/>
        <a:lstStyle/>
        <a:p>
          <a:r>
            <a:rPr lang="en-GB" sz="2000" b="1">
              <a:latin typeface="Twinkl" pitchFamily="2" charset="0"/>
            </a:rPr>
            <a:t> Desert to Garden</a:t>
          </a:r>
          <a:endParaRPr lang="en-GB" sz="2000">
            <a:latin typeface="Twinkl" pitchFamily="2" charset="0"/>
          </a:endParaRPr>
        </a:p>
      </dgm:t>
    </dgm:pt>
    <dgm:pt modelId="{7A49345E-EC41-4E63-B8B6-66D2654F3F78}" type="parTrans" cxnId="{D9295628-5D22-4FB1-9909-577F500D85FD}">
      <dgm:prSet/>
      <dgm:spPr/>
      <dgm:t>
        <a:bodyPr/>
        <a:lstStyle/>
        <a:p>
          <a:endParaRPr lang="en-GB"/>
        </a:p>
      </dgm:t>
    </dgm:pt>
    <dgm:pt modelId="{05A64787-57B6-479B-8136-06BE3440A2B0}" type="sibTrans" cxnId="{D9295628-5D22-4FB1-9909-577F500D85FD}">
      <dgm:prSet/>
      <dgm:spPr/>
      <dgm:t>
        <a:bodyPr/>
        <a:lstStyle/>
        <a:p>
          <a:endParaRPr lang="en-GB"/>
        </a:p>
      </dgm:t>
    </dgm:pt>
    <dgm:pt modelId="{2B3400A4-2A65-4A8D-ABD7-46E40715A03B}">
      <dgm:prSet phldrT="[Text]"/>
      <dgm:spPr>
        <a:solidFill>
          <a:srgbClr val="7030A0"/>
        </a:solidFill>
      </dgm:spPr>
      <dgm:t>
        <a:bodyPr/>
        <a:lstStyle/>
        <a:p>
          <a:r>
            <a:rPr lang="en-GB">
              <a:latin typeface="Twinkl" pitchFamily="2" charset="0"/>
            </a:rPr>
            <a:t>Later, in Year 2, you will learn:</a:t>
          </a:r>
        </a:p>
      </dgm:t>
    </dgm:pt>
    <dgm:pt modelId="{0948CCCD-FF19-4556-8553-D0FBFC43AE37}" type="parTrans" cxnId="{CE88A504-8EBC-4A70-A5B9-22EDE85B2C59}">
      <dgm:prSet/>
      <dgm:spPr/>
      <dgm:t>
        <a:bodyPr/>
        <a:lstStyle/>
        <a:p>
          <a:endParaRPr lang="en-GB"/>
        </a:p>
      </dgm:t>
    </dgm:pt>
    <dgm:pt modelId="{13DD5E7A-57C0-4697-9289-6BF9D6A6A342}" type="sibTrans" cxnId="{CE88A504-8EBC-4A70-A5B9-22EDE85B2C59}">
      <dgm:prSet/>
      <dgm:spPr/>
      <dgm:t>
        <a:bodyPr/>
        <a:lstStyle/>
        <a:p>
          <a:endParaRPr lang="en-GB"/>
        </a:p>
      </dgm:t>
    </dgm:pt>
    <dgm:pt modelId="{F4FD9B24-D9A8-4947-B99E-5EFF9A07DBE4}">
      <dgm:prSet phldrT="[Text]"/>
      <dgm:spPr>
        <a:solidFill>
          <a:srgbClr val="CC66FF">
            <a:alpha val="90000"/>
          </a:srgbClr>
        </a:solidFill>
      </dgm:spPr>
      <dgm:t>
        <a:bodyPr/>
        <a:lstStyle/>
        <a:p>
          <a:r>
            <a:rPr lang="en-GB">
              <a:latin typeface="Twinkl" panose="02000000000000000000" pitchFamily="2" charset="0"/>
            </a:rPr>
            <a:t>To make links between the forgiveness Jesus shows at his Crucifixion and the ministry of Jesus.</a:t>
          </a:r>
        </a:p>
      </dgm:t>
    </dgm:pt>
    <dgm:pt modelId="{40BF97CE-2618-4B28-82E2-9645AE9A408A}" type="parTrans" cxnId="{D257AC6B-7E10-4A16-8778-57C9462BA34F}">
      <dgm:prSet/>
      <dgm:spPr/>
      <dgm:t>
        <a:bodyPr/>
        <a:lstStyle/>
        <a:p>
          <a:endParaRPr lang="en-GB"/>
        </a:p>
      </dgm:t>
    </dgm:pt>
    <dgm:pt modelId="{D807236D-3375-44D8-A6FA-AAE2F73F8343}" type="sibTrans" cxnId="{D257AC6B-7E10-4A16-8778-57C9462BA34F}">
      <dgm:prSet/>
      <dgm:spPr/>
      <dgm:t>
        <a:bodyPr/>
        <a:lstStyle/>
        <a:p>
          <a:endParaRPr lang="en-GB"/>
        </a:p>
      </dgm:t>
    </dgm:pt>
    <dgm:pt modelId="{37703B8D-641B-431C-AC4C-80AFAEDE1B08}">
      <dgm:prSet phldrT="[Text]" custT="1"/>
      <dgm:spPr>
        <a:solidFill>
          <a:srgbClr val="7030A0"/>
        </a:solidFill>
      </dgm:spPr>
      <dgm:t>
        <a:bodyPr/>
        <a:lstStyle/>
        <a:p>
          <a:r>
            <a:rPr lang="en-GB" sz="1800">
              <a:latin typeface="Twinkl" pitchFamily="2" charset="0"/>
            </a:rPr>
            <a:t>Year 1</a:t>
          </a:r>
        </a:p>
      </dgm:t>
    </dgm:pt>
    <dgm:pt modelId="{93056C84-C737-4EBC-9367-3E7DBC7DEEB9}" type="sibTrans" cxnId="{1F0B0599-490E-41F1-9760-2439BA659461}">
      <dgm:prSet/>
      <dgm:spPr/>
      <dgm:t>
        <a:bodyPr/>
        <a:lstStyle/>
        <a:p>
          <a:endParaRPr lang="en-GB"/>
        </a:p>
      </dgm:t>
    </dgm:pt>
    <dgm:pt modelId="{A65BFC25-5440-4970-8A00-BCF7016E86D6}" type="parTrans" cxnId="{1F0B0599-490E-41F1-9760-2439BA659461}">
      <dgm:prSet/>
      <dgm:spPr/>
      <dgm:t>
        <a:bodyPr/>
        <a:lstStyle/>
        <a:p>
          <a:endParaRPr lang="en-GB"/>
        </a:p>
      </dgm:t>
    </dgm:pt>
    <dgm:pt modelId="{76631DF2-AD61-4ED6-818F-6620BF239A60}" type="pres">
      <dgm:prSet presAssocID="{DEFE5D4E-6B4C-4D28-808C-FC110691AF0A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99295305-E6B1-4BAC-876C-800A608B687E}" type="pres">
      <dgm:prSet presAssocID="{0A991CFB-08DF-4AB3-8B34-5E8ED86C2243}" presName="compNode" presStyleCnt="0"/>
      <dgm:spPr/>
    </dgm:pt>
    <dgm:pt modelId="{2C83F551-EDB8-4350-B64E-85B9288B0F41}" type="pres">
      <dgm:prSet presAssocID="{0A991CFB-08DF-4AB3-8B34-5E8ED86C2243}" presName="noGeometry" presStyleCnt="0"/>
      <dgm:spPr/>
    </dgm:pt>
    <dgm:pt modelId="{C2E350EC-4977-4B85-B054-934593A33902}" type="pres">
      <dgm:prSet presAssocID="{0A991CFB-08DF-4AB3-8B34-5E8ED86C2243}" presName="childTextVisible" presStyleLbl="bgAccFollowNode1" presStyleIdx="0" presStyleCnt="3" custLinFactNeighborX="-32126" custLinFactNeighborY="85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796C725-5799-44F5-8818-E7F6D448983B}" type="pres">
      <dgm:prSet presAssocID="{0A991CFB-08DF-4AB3-8B34-5E8ED86C2243}" presName="childTextHidden" presStyleLbl="bgAccFollowNode1" presStyleIdx="0" presStyleCnt="3"/>
      <dgm:spPr/>
      <dgm:t>
        <a:bodyPr/>
        <a:lstStyle/>
        <a:p>
          <a:endParaRPr lang="en-US"/>
        </a:p>
      </dgm:t>
    </dgm:pt>
    <dgm:pt modelId="{A97233A5-198C-4767-84D4-A66FBD220CC7}" type="pres">
      <dgm:prSet presAssocID="{0A991CFB-08DF-4AB3-8B34-5E8ED86C2243}" presName="parentText" presStyleLbl="node1" presStyleIdx="0" presStyleCnt="3" custLinFactNeighborX="-64252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0A8470E-9C12-4DA0-B552-C96121FC0DE8}" type="pres">
      <dgm:prSet presAssocID="{0A991CFB-08DF-4AB3-8B34-5E8ED86C2243}" presName="aSpace" presStyleCnt="0"/>
      <dgm:spPr/>
    </dgm:pt>
    <dgm:pt modelId="{F2C7CB48-74FB-4F9C-928A-8411A0F94F47}" type="pres">
      <dgm:prSet presAssocID="{37703B8D-641B-431C-AC4C-80AFAEDE1B08}" presName="compNode" presStyleCnt="0"/>
      <dgm:spPr/>
    </dgm:pt>
    <dgm:pt modelId="{45FAF034-0799-45F7-9CB8-EC14B8821607}" type="pres">
      <dgm:prSet presAssocID="{37703B8D-641B-431C-AC4C-80AFAEDE1B08}" presName="noGeometry" presStyleCnt="0"/>
      <dgm:spPr/>
    </dgm:pt>
    <dgm:pt modelId="{D6ABFA2E-9887-43D9-A0BB-4805B7F5DC16}" type="pres">
      <dgm:prSet presAssocID="{37703B8D-641B-431C-AC4C-80AFAEDE1B08}" presName="childTextVisible" presStyleLbl="bgAccFollowNode1" presStyleIdx="1" presStyleCnt="3" custScaleX="1424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EA401C5-8C8E-4064-956B-A9F1A95E5287}" type="pres">
      <dgm:prSet presAssocID="{37703B8D-641B-431C-AC4C-80AFAEDE1B08}" presName="childTextHidden" presStyleLbl="bgAccFollowNode1" presStyleIdx="1" presStyleCnt="3"/>
      <dgm:spPr/>
      <dgm:t>
        <a:bodyPr/>
        <a:lstStyle/>
        <a:p>
          <a:endParaRPr lang="en-US"/>
        </a:p>
      </dgm:t>
    </dgm:pt>
    <dgm:pt modelId="{4A17EB36-6969-4335-AD71-56F173ADA43E}" type="pres">
      <dgm:prSet presAssocID="{37703B8D-641B-431C-AC4C-80AFAEDE1B08}" presName="parentText" presStyleLbl="node1" presStyleIdx="1" presStyleCnt="3" custLinFactNeighborX="-11231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9702E6-F6F6-43F5-891F-9BF80F5E6B41}" type="pres">
      <dgm:prSet presAssocID="{37703B8D-641B-431C-AC4C-80AFAEDE1B08}" presName="aSpace" presStyleCnt="0"/>
      <dgm:spPr/>
    </dgm:pt>
    <dgm:pt modelId="{6CF6D4E3-D747-43A6-AC4F-D65660B0FE26}" type="pres">
      <dgm:prSet presAssocID="{2B3400A4-2A65-4A8D-ABD7-46E40715A03B}" presName="compNode" presStyleCnt="0"/>
      <dgm:spPr/>
    </dgm:pt>
    <dgm:pt modelId="{C8D3EBF2-9095-42BE-B67C-A3C8271023F6}" type="pres">
      <dgm:prSet presAssocID="{2B3400A4-2A65-4A8D-ABD7-46E40715A03B}" presName="noGeometry" presStyleCnt="0"/>
      <dgm:spPr/>
    </dgm:pt>
    <dgm:pt modelId="{80CEC703-EAEE-4653-BA80-DE39DCBB3CC5}" type="pres">
      <dgm:prSet presAssocID="{2B3400A4-2A65-4A8D-ABD7-46E40715A03B}" presName="childTextVisible" presStyleLbl="bgAccFollowNode1" presStyleIdx="2" presStyleCnt="3" custLinFactNeighborX="35862" custLinFactNeighborY="170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730DEEA-839D-4608-AEF9-0B568F5A13A5}" type="pres">
      <dgm:prSet presAssocID="{2B3400A4-2A65-4A8D-ABD7-46E40715A03B}" presName="childTextHidden" presStyleLbl="bgAccFollowNode1" presStyleIdx="2" presStyleCnt="3"/>
      <dgm:spPr/>
      <dgm:t>
        <a:bodyPr/>
        <a:lstStyle/>
        <a:p>
          <a:endParaRPr lang="en-US"/>
        </a:p>
      </dgm:t>
    </dgm:pt>
    <dgm:pt modelId="{61A1BAD0-F367-4439-A0EB-E76F8EEE49CC}" type="pres">
      <dgm:prSet presAssocID="{2B3400A4-2A65-4A8D-ABD7-46E40715A03B}" presName="parentText" presStyleLbl="node1" presStyleIdx="2" presStyleCnt="3" custLinFactNeighborX="71723" custLinFactNeighborY="2988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8DAD0AA2-ADC5-434E-B081-56F3226E7AD2}" type="presOf" srcId="{F7261DF2-C3A6-4762-B449-D4215AAF9FE1}" destId="{1EA401C5-8C8E-4064-956B-A9F1A95E5287}" srcOrd="1" destOrd="0" presId="urn:microsoft.com/office/officeart/2005/8/layout/hProcess6"/>
    <dgm:cxn modelId="{EBA117AC-DF2C-412A-9B54-A2882893EFC0}" type="presOf" srcId="{0A991CFB-08DF-4AB3-8B34-5E8ED86C2243}" destId="{A97233A5-198C-4767-84D4-A66FBD220CC7}" srcOrd="0" destOrd="0" presId="urn:microsoft.com/office/officeart/2005/8/layout/hProcess6"/>
    <dgm:cxn modelId="{8B92D715-8BA0-4A49-9B0B-05FF21594CB8}" type="presOf" srcId="{DEFE5D4E-6B4C-4D28-808C-FC110691AF0A}" destId="{76631DF2-AD61-4ED6-818F-6620BF239A60}" srcOrd="0" destOrd="0" presId="urn:microsoft.com/office/officeart/2005/8/layout/hProcess6"/>
    <dgm:cxn modelId="{8880C954-1C9E-4753-BEF5-E855FA71B80F}" srcId="{DEFE5D4E-6B4C-4D28-808C-FC110691AF0A}" destId="{0A991CFB-08DF-4AB3-8B34-5E8ED86C2243}" srcOrd="0" destOrd="0" parTransId="{CCD67DA0-F924-4AE3-B869-5E2568E60588}" sibTransId="{70E51A3C-E570-4EE4-AD99-7963BD466CAF}"/>
    <dgm:cxn modelId="{FB5132A1-1C36-4D55-A152-1E9FA21C4DFD}" srcId="{0A991CFB-08DF-4AB3-8B34-5E8ED86C2243}" destId="{91389BE3-7DE7-44B2-B426-15DB9D0603E6}" srcOrd="0" destOrd="0" parTransId="{43F9AF80-B297-40F0-9AE3-23765EC87F0F}" sibTransId="{3A58893F-5A40-4E84-BD65-5CC4E9E13319}"/>
    <dgm:cxn modelId="{D9295628-5D22-4FB1-9909-577F500D85FD}" srcId="{37703B8D-641B-431C-AC4C-80AFAEDE1B08}" destId="{F7261DF2-C3A6-4762-B449-D4215AAF9FE1}" srcOrd="0" destOrd="0" parTransId="{7A49345E-EC41-4E63-B8B6-66D2654F3F78}" sibTransId="{05A64787-57B6-479B-8136-06BE3440A2B0}"/>
    <dgm:cxn modelId="{7C6BBA5F-03F0-4B94-8114-DBE31028F708}" type="presOf" srcId="{91389BE3-7DE7-44B2-B426-15DB9D0603E6}" destId="{C2E350EC-4977-4B85-B054-934593A33902}" srcOrd="0" destOrd="0" presId="urn:microsoft.com/office/officeart/2005/8/layout/hProcess6"/>
    <dgm:cxn modelId="{FF6A51FB-3D09-4AE0-A591-B3753017067F}" type="presOf" srcId="{F4FD9B24-D9A8-4947-B99E-5EFF9A07DBE4}" destId="{80CEC703-EAEE-4653-BA80-DE39DCBB3CC5}" srcOrd="0" destOrd="0" presId="urn:microsoft.com/office/officeart/2005/8/layout/hProcess6"/>
    <dgm:cxn modelId="{D257AC6B-7E10-4A16-8778-57C9462BA34F}" srcId="{2B3400A4-2A65-4A8D-ABD7-46E40715A03B}" destId="{F4FD9B24-D9A8-4947-B99E-5EFF9A07DBE4}" srcOrd="0" destOrd="0" parTransId="{40BF97CE-2618-4B28-82E2-9645AE9A408A}" sibTransId="{D807236D-3375-44D8-A6FA-AAE2F73F8343}"/>
    <dgm:cxn modelId="{49AE9D8C-844D-4FF3-937A-382722F1CE64}" type="presOf" srcId="{2B3400A4-2A65-4A8D-ABD7-46E40715A03B}" destId="{61A1BAD0-F367-4439-A0EB-E76F8EEE49CC}" srcOrd="0" destOrd="0" presId="urn:microsoft.com/office/officeart/2005/8/layout/hProcess6"/>
    <dgm:cxn modelId="{1F0B0599-490E-41F1-9760-2439BA659461}" srcId="{DEFE5D4E-6B4C-4D28-808C-FC110691AF0A}" destId="{37703B8D-641B-431C-AC4C-80AFAEDE1B08}" srcOrd="1" destOrd="0" parTransId="{A65BFC25-5440-4970-8A00-BCF7016E86D6}" sibTransId="{93056C84-C737-4EBC-9367-3E7DBC7DEEB9}"/>
    <dgm:cxn modelId="{74B028F7-8D2C-4CCD-BD99-47792B92B11D}" type="presOf" srcId="{91389BE3-7DE7-44B2-B426-15DB9D0603E6}" destId="{0796C725-5799-44F5-8818-E7F6D448983B}" srcOrd="1" destOrd="0" presId="urn:microsoft.com/office/officeart/2005/8/layout/hProcess6"/>
    <dgm:cxn modelId="{CE88A504-8EBC-4A70-A5B9-22EDE85B2C59}" srcId="{DEFE5D4E-6B4C-4D28-808C-FC110691AF0A}" destId="{2B3400A4-2A65-4A8D-ABD7-46E40715A03B}" srcOrd="2" destOrd="0" parTransId="{0948CCCD-FF19-4556-8553-D0FBFC43AE37}" sibTransId="{13DD5E7A-57C0-4697-9289-6BF9D6A6A342}"/>
    <dgm:cxn modelId="{6BC297A1-336A-4DB6-A0A0-BBA9929219AD}" type="presOf" srcId="{37703B8D-641B-431C-AC4C-80AFAEDE1B08}" destId="{4A17EB36-6969-4335-AD71-56F173ADA43E}" srcOrd="0" destOrd="0" presId="urn:microsoft.com/office/officeart/2005/8/layout/hProcess6"/>
    <dgm:cxn modelId="{2653D862-FC11-4227-9486-836944AFE5E0}" type="presOf" srcId="{F4FD9B24-D9A8-4947-B99E-5EFF9A07DBE4}" destId="{9730DEEA-839D-4608-AEF9-0B568F5A13A5}" srcOrd="1" destOrd="0" presId="urn:microsoft.com/office/officeart/2005/8/layout/hProcess6"/>
    <dgm:cxn modelId="{D8C5FB14-1182-4546-8D72-7CB6B6EBD43B}" type="presOf" srcId="{F7261DF2-C3A6-4762-B449-D4215AAF9FE1}" destId="{D6ABFA2E-9887-43D9-A0BB-4805B7F5DC16}" srcOrd="0" destOrd="0" presId="urn:microsoft.com/office/officeart/2005/8/layout/hProcess6"/>
    <dgm:cxn modelId="{DB671331-B4F9-44BB-9E35-EAB31A77DE64}" type="presParOf" srcId="{76631DF2-AD61-4ED6-818F-6620BF239A60}" destId="{99295305-E6B1-4BAC-876C-800A608B687E}" srcOrd="0" destOrd="0" presId="urn:microsoft.com/office/officeart/2005/8/layout/hProcess6"/>
    <dgm:cxn modelId="{C03158CC-8777-4CF1-822F-D87B29FF58D9}" type="presParOf" srcId="{99295305-E6B1-4BAC-876C-800A608B687E}" destId="{2C83F551-EDB8-4350-B64E-85B9288B0F41}" srcOrd="0" destOrd="0" presId="urn:microsoft.com/office/officeart/2005/8/layout/hProcess6"/>
    <dgm:cxn modelId="{3E44624F-5EFA-42BD-90F8-8AF94A8DF1FC}" type="presParOf" srcId="{99295305-E6B1-4BAC-876C-800A608B687E}" destId="{C2E350EC-4977-4B85-B054-934593A33902}" srcOrd="1" destOrd="0" presId="urn:microsoft.com/office/officeart/2005/8/layout/hProcess6"/>
    <dgm:cxn modelId="{AF8D6BA6-0421-47C4-AEA2-9CFFC5305E0F}" type="presParOf" srcId="{99295305-E6B1-4BAC-876C-800A608B687E}" destId="{0796C725-5799-44F5-8818-E7F6D448983B}" srcOrd="2" destOrd="0" presId="urn:microsoft.com/office/officeart/2005/8/layout/hProcess6"/>
    <dgm:cxn modelId="{F0F92BE5-B3E9-49EB-A66A-2A98BC9D7F5A}" type="presParOf" srcId="{99295305-E6B1-4BAC-876C-800A608B687E}" destId="{A97233A5-198C-4767-84D4-A66FBD220CC7}" srcOrd="3" destOrd="0" presId="urn:microsoft.com/office/officeart/2005/8/layout/hProcess6"/>
    <dgm:cxn modelId="{93B1D3FA-19AC-4149-8016-1F6130F94BC2}" type="presParOf" srcId="{76631DF2-AD61-4ED6-818F-6620BF239A60}" destId="{B0A8470E-9C12-4DA0-B552-C96121FC0DE8}" srcOrd="1" destOrd="0" presId="urn:microsoft.com/office/officeart/2005/8/layout/hProcess6"/>
    <dgm:cxn modelId="{3AE9EE96-69D6-497D-B6C6-94DA23D81554}" type="presParOf" srcId="{76631DF2-AD61-4ED6-818F-6620BF239A60}" destId="{F2C7CB48-74FB-4F9C-928A-8411A0F94F47}" srcOrd="2" destOrd="0" presId="urn:microsoft.com/office/officeart/2005/8/layout/hProcess6"/>
    <dgm:cxn modelId="{59FEFF6E-DD2C-48D6-B9F8-20F23D1BB591}" type="presParOf" srcId="{F2C7CB48-74FB-4F9C-928A-8411A0F94F47}" destId="{45FAF034-0799-45F7-9CB8-EC14B8821607}" srcOrd="0" destOrd="0" presId="urn:microsoft.com/office/officeart/2005/8/layout/hProcess6"/>
    <dgm:cxn modelId="{07EA632B-B42F-46D1-8424-C3EA18AC39D2}" type="presParOf" srcId="{F2C7CB48-74FB-4F9C-928A-8411A0F94F47}" destId="{D6ABFA2E-9887-43D9-A0BB-4805B7F5DC16}" srcOrd="1" destOrd="0" presId="urn:microsoft.com/office/officeart/2005/8/layout/hProcess6"/>
    <dgm:cxn modelId="{6AC277B8-C34D-404D-997C-C720D66BE3E2}" type="presParOf" srcId="{F2C7CB48-74FB-4F9C-928A-8411A0F94F47}" destId="{1EA401C5-8C8E-4064-956B-A9F1A95E5287}" srcOrd="2" destOrd="0" presId="urn:microsoft.com/office/officeart/2005/8/layout/hProcess6"/>
    <dgm:cxn modelId="{147F0041-875E-469D-9D40-FB4FF7CEE1F9}" type="presParOf" srcId="{F2C7CB48-74FB-4F9C-928A-8411A0F94F47}" destId="{4A17EB36-6969-4335-AD71-56F173ADA43E}" srcOrd="3" destOrd="0" presId="urn:microsoft.com/office/officeart/2005/8/layout/hProcess6"/>
    <dgm:cxn modelId="{BC54A65E-9535-4CD2-B49C-EC6F707250BC}" type="presParOf" srcId="{76631DF2-AD61-4ED6-818F-6620BF239A60}" destId="{8A9702E6-F6F6-43F5-891F-9BF80F5E6B41}" srcOrd="3" destOrd="0" presId="urn:microsoft.com/office/officeart/2005/8/layout/hProcess6"/>
    <dgm:cxn modelId="{D3AA89CE-0123-49E0-AD01-6BF11956B9D0}" type="presParOf" srcId="{76631DF2-AD61-4ED6-818F-6620BF239A60}" destId="{6CF6D4E3-D747-43A6-AC4F-D65660B0FE26}" srcOrd="4" destOrd="0" presId="urn:microsoft.com/office/officeart/2005/8/layout/hProcess6"/>
    <dgm:cxn modelId="{D5367448-D935-43FE-AA41-EDDE58EDA581}" type="presParOf" srcId="{6CF6D4E3-D747-43A6-AC4F-D65660B0FE26}" destId="{C8D3EBF2-9095-42BE-B67C-A3C8271023F6}" srcOrd="0" destOrd="0" presId="urn:microsoft.com/office/officeart/2005/8/layout/hProcess6"/>
    <dgm:cxn modelId="{32BDD72B-080A-4DE1-B060-597582896E36}" type="presParOf" srcId="{6CF6D4E3-D747-43A6-AC4F-D65660B0FE26}" destId="{80CEC703-EAEE-4653-BA80-DE39DCBB3CC5}" srcOrd="1" destOrd="0" presId="urn:microsoft.com/office/officeart/2005/8/layout/hProcess6"/>
    <dgm:cxn modelId="{D987744A-A283-4A15-9EE2-A6AA9FB9AFDD}" type="presParOf" srcId="{6CF6D4E3-D747-43A6-AC4F-D65660B0FE26}" destId="{9730DEEA-839D-4608-AEF9-0B568F5A13A5}" srcOrd="2" destOrd="0" presId="urn:microsoft.com/office/officeart/2005/8/layout/hProcess6"/>
    <dgm:cxn modelId="{C002340D-8558-4CE7-96EB-D824E1CA797F}" type="presParOf" srcId="{6CF6D4E3-D747-43A6-AC4F-D65660B0FE26}" destId="{61A1BAD0-F367-4439-A0EB-E76F8EEE49CC}" srcOrd="3" destOrd="0" presId="urn:microsoft.com/office/officeart/2005/8/layout/hProcess6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2E350EC-4977-4B85-B054-934593A33902}">
      <dsp:nvSpPr>
        <dsp:cNvPr id="0" name=""/>
        <dsp:cNvSpPr/>
      </dsp:nvSpPr>
      <dsp:spPr>
        <a:xfrm>
          <a:off x="561983" y="0"/>
          <a:ext cx="2035348" cy="1779151"/>
        </a:xfrm>
        <a:prstGeom prst="rightArrow">
          <a:avLst>
            <a:gd name="adj1" fmla="val 70000"/>
            <a:gd name="adj2" fmla="val 50000"/>
          </a:avLst>
        </a:prstGeom>
        <a:solidFill>
          <a:srgbClr val="CC66FF">
            <a:alpha val="89804"/>
          </a:srgb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12700" bIns="635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Twinkl" pitchFamily="2" charset="0"/>
            </a:rPr>
            <a:t>Easter is a celebration that Jesus is still with us. </a:t>
          </a:r>
        </a:p>
      </dsp:txBody>
      <dsp:txXfrm>
        <a:off x="1070820" y="266873"/>
        <a:ext cx="992232" cy="1245405"/>
      </dsp:txXfrm>
    </dsp:sp>
    <dsp:sp modelId="{A97233A5-198C-4767-84D4-A66FBD220CC7}">
      <dsp:nvSpPr>
        <dsp:cNvPr id="0" name=""/>
        <dsp:cNvSpPr/>
      </dsp:nvSpPr>
      <dsp:spPr>
        <a:xfrm>
          <a:off x="53146" y="380738"/>
          <a:ext cx="1017674" cy="1017674"/>
        </a:xfrm>
        <a:prstGeom prst="ellipse">
          <a:avLst/>
        </a:prstGeom>
        <a:solidFill>
          <a:srgbClr val="7030A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Twinkl" pitchFamily="2" charset="0"/>
            </a:rPr>
            <a:t>Remember in Reception, we learned:</a:t>
          </a:r>
        </a:p>
      </dsp:txBody>
      <dsp:txXfrm>
        <a:off x="202181" y="529773"/>
        <a:ext cx="719604" cy="719604"/>
      </dsp:txXfrm>
    </dsp:sp>
    <dsp:sp modelId="{D6ABFA2E-9887-43D9-A0BB-4805B7F5DC16}">
      <dsp:nvSpPr>
        <dsp:cNvPr id="0" name=""/>
        <dsp:cNvSpPr/>
      </dsp:nvSpPr>
      <dsp:spPr>
        <a:xfrm>
          <a:off x="3477223" y="0"/>
          <a:ext cx="2899863" cy="1779151"/>
        </a:xfrm>
        <a:prstGeom prst="rightArrow">
          <a:avLst>
            <a:gd name="adj1" fmla="val 70000"/>
            <a:gd name="adj2" fmla="val 50000"/>
          </a:avLst>
        </a:prstGeom>
        <a:solidFill>
          <a:srgbClr val="CC66FF">
            <a:alpha val="90000"/>
          </a:srgb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0800" tIns="12700" rIns="254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000" b="1" kern="1200">
              <a:latin typeface="Twinkl" pitchFamily="2" charset="0"/>
            </a:rPr>
            <a:t> Desert to Garden</a:t>
          </a:r>
          <a:endParaRPr lang="en-GB" sz="2000" kern="1200">
            <a:latin typeface="Twinkl" pitchFamily="2" charset="0"/>
          </a:endParaRPr>
        </a:p>
      </dsp:txBody>
      <dsp:txXfrm>
        <a:off x="4202189" y="266873"/>
        <a:ext cx="1552194" cy="1245405"/>
      </dsp:txXfrm>
    </dsp:sp>
    <dsp:sp modelId="{4A17EB36-6969-4335-AD71-56F173ADA43E}">
      <dsp:nvSpPr>
        <dsp:cNvPr id="0" name=""/>
        <dsp:cNvSpPr/>
      </dsp:nvSpPr>
      <dsp:spPr>
        <a:xfrm>
          <a:off x="3286348" y="380738"/>
          <a:ext cx="1017674" cy="1017674"/>
        </a:xfrm>
        <a:prstGeom prst="ellipse">
          <a:avLst/>
        </a:prstGeom>
        <a:solidFill>
          <a:srgbClr val="7030A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800" kern="1200">
              <a:latin typeface="Twinkl" pitchFamily="2" charset="0"/>
            </a:rPr>
            <a:t>Year 1</a:t>
          </a:r>
        </a:p>
      </dsp:txBody>
      <dsp:txXfrm>
        <a:off x="3435383" y="529773"/>
        <a:ext cx="719604" cy="719604"/>
      </dsp:txXfrm>
    </dsp:sp>
    <dsp:sp modelId="{80CEC703-EAEE-4653-BA80-DE39DCBB3CC5}">
      <dsp:nvSpPr>
        <dsp:cNvPr id="0" name=""/>
        <dsp:cNvSpPr/>
      </dsp:nvSpPr>
      <dsp:spPr>
        <a:xfrm>
          <a:off x="7742381" y="0"/>
          <a:ext cx="2035348" cy="1779151"/>
        </a:xfrm>
        <a:prstGeom prst="rightArrow">
          <a:avLst>
            <a:gd name="adj1" fmla="val 70000"/>
            <a:gd name="adj2" fmla="val 50000"/>
          </a:avLst>
        </a:prstGeom>
        <a:solidFill>
          <a:srgbClr val="CC66FF">
            <a:alpha val="90000"/>
          </a:srgb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1270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>
              <a:latin typeface="Twinkl" panose="02000000000000000000" pitchFamily="2" charset="0"/>
            </a:rPr>
            <a:t>To make links between the forgiveness Jesus shows at his Crucifixion and the ministry of Jesus.</a:t>
          </a:r>
        </a:p>
      </dsp:txBody>
      <dsp:txXfrm>
        <a:off x="8251218" y="266873"/>
        <a:ext cx="992232" cy="1245405"/>
      </dsp:txXfrm>
    </dsp:sp>
    <dsp:sp modelId="{61A1BAD0-F367-4439-A0EB-E76F8EEE49CC}">
      <dsp:nvSpPr>
        <dsp:cNvPr id="0" name=""/>
        <dsp:cNvSpPr/>
      </dsp:nvSpPr>
      <dsp:spPr>
        <a:xfrm>
          <a:off x="7256428" y="411146"/>
          <a:ext cx="1017674" cy="1017674"/>
        </a:xfrm>
        <a:prstGeom prst="ellipse">
          <a:avLst/>
        </a:prstGeom>
        <a:solidFill>
          <a:srgbClr val="7030A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latin typeface="Twinkl" pitchFamily="2" charset="0"/>
            </a:rPr>
            <a:t>Later, in Year 2, you will learn:</a:t>
          </a:r>
        </a:p>
      </dsp:txBody>
      <dsp:txXfrm>
        <a:off x="7405463" y="560181"/>
        <a:ext cx="719604" cy="71960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6">
  <dgm:title val=""/>
  <dgm:desc val=""/>
  <dgm:catLst>
    <dgm:cat type="process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L"/>
          <dgm:param type="nodeHorzAlign" val="l"/>
        </dgm:alg>
      </dgm:if>
      <dgm:else name="Name2">
        <dgm:alg type="lin">
          <dgm:param type="linDir" val="from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refFor="ch" refForName="compNode" fact="0.7"/>
      <dgm:constr type="ctrY" for="ch" forName="compNode" refType="h" fact="0.5"/>
      <dgm:constr type="w" for="ch" forName="aSpace" refType="w" fact="0.05"/>
      <dgm:constr type="primFontSz" for="des" forName="childTextHidden" op="equ" val="65"/>
      <dgm:constr type="primFontSz" for="des" forName="parentText" op="equ"/>
    </dgm:constrLst>
    <dgm:ruleLst/>
    <dgm:forEach name="aNodeForEach" axis="ch" ptType="node">
      <dgm:layoutNode name="compNode">
        <dgm:alg type="composite">
          <dgm:param type="ar" val="1.43"/>
        </dgm:alg>
        <dgm:shape xmlns:r="http://schemas.openxmlformats.org/officeDocument/2006/relationships" r:blip="">
          <dgm:adjLst/>
        </dgm:shape>
        <dgm:presOf/>
        <dgm:choose name="Name3">
          <dgm:if name="Name4" func="var" arg="dir" op="equ" val="norm">
            <dgm:constrLst>
              <dgm:constr type="w" for="ch" forName="childTextVisible" refType="w" fact="0.8"/>
              <dgm:constr type="h" for="ch" forName="childTextVisible" refType="h"/>
              <dgm:constr type="r" for="ch" forName="childTextVisible" refType="w"/>
              <dgm:constr type="w" for="ch" forName="childTextHidden" refType="w" fact="0.6"/>
              <dgm:constr type="h" for="ch" forName="childTextHidden" refType="h"/>
              <dgm:constr type="r" for="ch" forName="childTextHidden" refType="w"/>
              <dgm:constr type="l" for="ch" forName="parentText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if>
          <dgm:else name="Name5">
            <dgm:constrLst>
              <dgm:constr type="w" for="ch" forName="childTextVisible" refType="w" fact="0.8"/>
              <dgm:constr type="h" for="ch" forName="childTextVisible" refType="h"/>
              <dgm:constr type="l" for="ch" forName="childTextVisible"/>
              <dgm:constr type="w" for="ch" forName="childTextHidden" refType="w" fact="0.6"/>
              <dgm:constr type="h" for="ch" forName="childTextHidden" refType="h"/>
              <dgm:constr type="l" for="ch" forName="childTextHidden"/>
              <dgm:constr type="r" for="ch" forName="parentText" refType="w"/>
              <dgm:constr type="w" for="ch" forName="parentText" refType="w" fact="0.4"/>
              <dgm:constr type="h" for="ch" forName="parentText" refType="w" refFor="ch" refForName="parentText" op="equ"/>
              <dgm:constr type="ctrY" for="ch" forName="parentText" refType="h" fact="0.5"/>
            </dgm:constrLst>
          </dgm:else>
        </dgm:choose>
        <dgm:ruleLst/>
        <dgm:layoutNode name="noGeometry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childTextVisible" styleLbl="bgAccFollowNode1">
          <dgm:varLst>
            <dgm:bulletEnabled val="1"/>
          </dgm:varLst>
          <dgm:alg type="sp"/>
          <dgm:choose name="Name6">
            <dgm:if name="Name7" func="var" arg="dir" op="equ" val="norm">
              <dgm:shape xmlns:r="http://schemas.openxmlformats.org/officeDocument/2006/relationships" type="rightArrow" r:blip="">
                <dgm:adjLst>
                  <dgm:adj idx="1" val="0.7"/>
                  <dgm:adj idx="2" val="0.5"/>
                </dgm:adjLst>
              </dgm:shape>
            </dgm:if>
            <dgm:else name="Name8">
              <dgm:shape xmlns:r="http://schemas.openxmlformats.org/officeDocument/2006/relationships" type="leftArrow" r:blip="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/>
          <dgm:ruleLst/>
        </dgm:layoutNode>
        <dgm:layoutNode name="childTextHidden" styleLbl="bgAccFollowNode1">
          <dgm:choose name="Name9">
            <dgm:if name="Name10" axis="des followSib" ptType="node node" st="1 1" cnt="1 0" func="cnt" op="gte" val="1">
              <dgm:alg type="tx">
                <dgm:param type="stBulletLvl" val="1"/>
                <dgm:param type="txAnchorVertCh" val="mid"/>
              </dgm:alg>
            </dgm:if>
            <dgm:else name="Name11">
              <dgm:alg type="tx">
                <dgm:param type="stBulletLvl" val="2"/>
                <dgm:param type="txAnchorVertCh" val="mid"/>
              </dgm:alg>
            </dgm:else>
          </dgm:choose>
          <dgm:choose name="Name12">
            <dgm:if name="Name13" func="var" arg="dir" op="equ" val="norm">
              <dgm:shape xmlns:r="http://schemas.openxmlformats.org/officeDocument/2006/relationships" type="rightArrow" r:blip="" hideGeom="1">
                <dgm:adjLst>
                  <dgm:adj idx="1" val="0.7"/>
                  <dgm:adj idx="2" val="0.5"/>
                </dgm:adjLst>
              </dgm:shape>
            </dgm:if>
            <dgm:else name="Name14">
              <dgm:shape xmlns:r="http://schemas.openxmlformats.org/officeDocument/2006/relationships" type="leftArrow" r:blip="" hideGeom="1">
                <dgm:adjLst>
                  <dgm:adj idx="1" val="0.7"/>
                  <dgm:adj idx="2" val="0.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rMarg" refType="primFontSz" fact="0.1"/>
            <dgm:constr type="lMarg" refType="primFontSz" fact="0.2"/>
          </dgm:constrLst>
          <dgm:ruleLst>
            <dgm:rule type="primFontSz" val="5" fact="NaN" max="NaN"/>
          </dgm:ruleLst>
        </dgm:layoutNode>
        <dgm:layoutNode name="parentText" styleLbl="node1">
          <dgm:varLst>
            <dgm:chMax val="1"/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primFontSz" val="65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choose name="Name15">
        <dgm:if name="Name16" axis="self" ptType="node" func="revPos" op="gte" val="2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33840B5207048BE34C7597F64E554" ma:contentTypeVersion="15" ma:contentTypeDescription="Create a new document." ma:contentTypeScope="" ma:versionID="3e37810c34a60d59c4a9e459dbbf2ebf">
  <xsd:schema xmlns:xsd="http://www.w3.org/2001/XMLSchema" xmlns:xs="http://www.w3.org/2001/XMLSchema" xmlns:p="http://schemas.microsoft.com/office/2006/metadata/properties" xmlns:ns2="7d8f93d8-c321-49d1-9caa-56765613f6dd" xmlns:ns3="b8d1cf6f-8885-40aa-b615-9e9e3987fd69" targetNamespace="http://schemas.microsoft.com/office/2006/metadata/properties" ma:root="true" ma:fieldsID="ad2a3b8313ea4182c4e3841a570e2c70" ns2:_="" ns3:_="">
    <xsd:import namespace="7d8f93d8-c321-49d1-9caa-56765613f6dd"/>
    <xsd:import namespace="b8d1cf6f-8885-40aa-b615-9e9e3987fd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f93d8-c321-49d1-9caa-56765613f6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e815a8c-dd3b-4a44-9a00-262acd2d0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d1cf6f-8885-40aa-b615-9e9e3987fd6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c39260d-3cc4-487f-87b9-69fc2af8b494}" ma:internalName="TaxCatchAll" ma:showField="CatchAllData" ma:web="b8d1cf6f-8885-40aa-b615-9e9e3987fd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8f93d8-c321-49d1-9caa-56765613f6dd">
      <Terms xmlns="http://schemas.microsoft.com/office/infopath/2007/PartnerControls"/>
    </lcf76f155ced4ddcb4097134ff3c332f>
    <TaxCatchAll xmlns="b8d1cf6f-8885-40aa-b615-9e9e3987fd69" xsi:nil="true"/>
  </documentManagement>
</p:properties>
</file>

<file path=customXml/itemProps1.xml><?xml version="1.0" encoding="utf-8"?>
<ds:datastoreItem xmlns:ds="http://schemas.openxmlformats.org/officeDocument/2006/customXml" ds:itemID="{97D477DD-CBF0-4D87-8442-96589A2AB4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611287-B8A5-4745-88F0-AD65221D8B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8f93d8-c321-49d1-9caa-56765613f6dd"/>
    <ds:schemaRef ds:uri="b8d1cf6f-8885-40aa-b615-9e9e3987fd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C2301C-D7DB-4F28-B7C7-B8B22340DD1E}">
  <ds:schemaRefs>
    <ds:schemaRef ds:uri="b8d1cf6f-8885-40aa-b615-9e9e3987fd69"/>
    <ds:schemaRef ds:uri="http://purl.org/dc/terms/"/>
    <ds:schemaRef ds:uri="7d8f93d8-c321-49d1-9caa-56765613f6dd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Foster</dc:creator>
  <cp:keywords/>
  <dc:description/>
  <cp:lastModifiedBy>Ellie O'Sullivan</cp:lastModifiedBy>
  <cp:revision>2</cp:revision>
  <cp:lastPrinted>2023-12-12T11:24:00Z</cp:lastPrinted>
  <dcterms:created xsi:type="dcterms:W3CDTF">2025-02-27T16:19:00Z</dcterms:created>
  <dcterms:modified xsi:type="dcterms:W3CDTF">2025-02-27T16:19:00Z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0x010100C5333840B5207048BE34C7597F64E554</vt:lpwstr>
  </property>
</Properties>
</file>